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FEED" w14:textId="4C06756F" w:rsidR="00AB252A" w:rsidRPr="00892CDE" w:rsidRDefault="00536CC5" w:rsidP="00536CC5">
      <w:pPr>
        <w:pStyle w:val="Title"/>
        <w:pBdr>
          <w:bottom w:val="single" w:sz="4" w:space="9" w:color="0F243E" w:themeColor="text2" w:themeShade="80"/>
        </w:pBdr>
        <w:rPr>
          <w:b/>
          <w:color w:val="244061" w:themeColor="accent1" w:themeShade="80"/>
        </w:rPr>
      </w:pPr>
      <w:r w:rsidRPr="00892CDE">
        <w:rPr>
          <w:b/>
          <w:noProof/>
          <w:color w:val="244061" w:themeColor="accent1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10A22131" wp14:editId="05BEB3A7">
            <wp:simplePos x="0" y="0"/>
            <wp:positionH relativeFrom="column">
              <wp:posOffset>5340046</wp:posOffset>
            </wp:positionH>
            <wp:positionV relativeFrom="paragraph">
              <wp:posOffset>-175895</wp:posOffset>
            </wp:positionV>
            <wp:extent cx="1104679" cy="129606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79" cy="1296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CDE">
        <w:rPr>
          <w:b/>
          <w:color w:val="244061" w:themeColor="accent1" w:themeShade="80"/>
        </w:rPr>
        <w:t>S</w:t>
      </w:r>
      <w:r w:rsidR="003204FF">
        <w:rPr>
          <w:b/>
          <w:color w:val="244061" w:themeColor="accent1" w:themeShade="80"/>
        </w:rPr>
        <w:t>POKES</w:t>
      </w:r>
      <w:r w:rsidRPr="00892CDE">
        <w:rPr>
          <w:b/>
          <w:color w:val="244061" w:themeColor="accent1" w:themeShade="80"/>
        </w:rPr>
        <w:t xml:space="preserve"> </w:t>
      </w:r>
      <w:r w:rsidR="00D67240">
        <w:rPr>
          <w:b/>
          <w:color w:val="244061" w:themeColor="accent1" w:themeShade="80"/>
        </w:rPr>
        <w:t>Annual General</w:t>
      </w:r>
      <w:r w:rsidRPr="00892CDE">
        <w:rPr>
          <w:b/>
          <w:color w:val="244061" w:themeColor="accent1" w:themeShade="80"/>
        </w:rPr>
        <w:t xml:space="preserve"> Meeting</w:t>
      </w:r>
    </w:p>
    <w:p w14:paraId="7153EA87" w14:textId="4989F15D" w:rsidR="00686DE1" w:rsidRPr="00892CDE" w:rsidRDefault="00686DE1" w:rsidP="00686DE1">
      <w:pPr>
        <w:spacing w:line="300" w:lineRule="auto"/>
      </w:pPr>
      <w:r w:rsidRPr="00892CDE">
        <w:rPr>
          <w:b/>
          <w:color w:val="244061" w:themeColor="accent1" w:themeShade="80"/>
        </w:rPr>
        <w:t>Date:</w:t>
      </w:r>
      <w:r w:rsidRPr="00892CDE">
        <w:rPr>
          <w:color w:val="244061" w:themeColor="accent1" w:themeShade="80"/>
        </w:rPr>
        <w:t xml:space="preserve"> </w:t>
      </w:r>
      <w:r w:rsidRPr="00892CDE">
        <w:rPr>
          <w:color w:val="244061" w:themeColor="accent1" w:themeShade="80"/>
        </w:rPr>
        <w:tab/>
      </w:r>
      <w:r w:rsidRPr="00892CDE">
        <w:rPr>
          <w:color w:val="244061" w:themeColor="accent1" w:themeShade="80"/>
        </w:rPr>
        <w:tab/>
      </w:r>
      <w:r w:rsidR="001B68FB">
        <w:rPr>
          <w:color w:val="244061" w:themeColor="accent1" w:themeShade="80"/>
        </w:rPr>
        <w:t>1</w:t>
      </w:r>
      <w:r w:rsidR="00B24EA8">
        <w:rPr>
          <w:color w:val="244061" w:themeColor="accent1" w:themeShade="80"/>
        </w:rPr>
        <w:t>1</w:t>
      </w:r>
      <w:r w:rsidR="00D67240">
        <w:rPr>
          <w:color w:val="244061" w:themeColor="accent1" w:themeShade="80"/>
        </w:rPr>
        <w:t xml:space="preserve"> June</w:t>
      </w:r>
      <w:r w:rsidR="00ED29DA">
        <w:rPr>
          <w:color w:val="244061" w:themeColor="accent1" w:themeShade="80"/>
        </w:rPr>
        <w:t xml:space="preserve"> 202</w:t>
      </w:r>
      <w:r w:rsidR="00B24EA8">
        <w:rPr>
          <w:color w:val="244061" w:themeColor="accent1" w:themeShade="80"/>
        </w:rPr>
        <w:t>3</w:t>
      </w:r>
      <w:r w:rsidR="000A3253">
        <w:rPr>
          <w:color w:val="244061" w:themeColor="accent1" w:themeShade="80"/>
        </w:rPr>
        <w:tab/>
      </w:r>
      <w:r w:rsidRPr="00892CDE">
        <w:rPr>
          <w:color w:val="244061" w:themeColor="accent1" w:themeShade="80"/>
        </w:rPr>
        <w:tab/>
      </w:r>
      <w:r w:rsidRPr="00892CDE">
        <w:rPr>
          <w:color w:val="244061" w:themeColor="accent1" w:themeShade="80"/>
        </w:rPr>
        <w:tab/>
      </w:r>
      <w:r w:rsidRPr="00892CDE">
        <w:rPr>
          <w:b/>
          <w:color w:val="244061" w:themeColor="accent1" w:themeShade="80"/>
        </w:rPr>
        <w:t>Venue:</w:t>
      </w:r>
      <w:r w:rsidRPr="00892CDE">
        <w:rPr>
          <w:b/>
          <w:color w:val="244061" w:themeColor="accent1" w:themeShade="80"/>
        </w:rPr>
        <w:tab/>
      </w:r>
      <w:r w:rsidRPr="00892CDE">
        <w:rPr>
          <w:b/>
          <w:color w:val="244061" w:themeColor="accent1" w:themeShade="80"/>
        </w:rPr>
        <w:tab/>
      </w:r>
      <w:proofErr w:type="spellStart"/>
      <w:r w:rsidR="001B68FB">
        <w:rPr>
          <w:color w:val="244061" w:themeColor="accent1" w:themeShade="80"/>
        </w:rPr>
        <w:t>Colline’s</w:t>
      </w:r>
      <w:proofErr w:type="spellEnd"/>
      <w:r w:rsidR="001B68FB">
        <w:rPr>
          <w:color w:val="244061" w:themeColor="accent1" w:themeShade="80"/>
        </w:rPr>
        <w:t xml:space="preserve"> Kitchen</w:t>
      </w:r>
    </w:p>
    <w:p w14:paraId="367AC00D" w14:textId="77777777" w:rsidR="00F90030" w:rsidRDefault="00686DE1" w:rsidP="00A14A2C">
      <w:pPr>
        <w:spacing w:after="0" w:line="300" w:lineRule="auto"/>
        <w:ind w:left="1395" w:hanging="1394"/>
        <w:rPr>
          <w:color w:val="244061" w:themeColor="accent1" w:themeShade="80"/>
        </w:rPr>
      </w:pPr>
      <w:r w:rsidRPr="00892CDE">
        <w:rPr>
          <w:b/>
          <w:color w:val="244061" w:themeColor="accent1" w:themeShade="80"/>
        </w:rPr>
        <w:t>Present:</w:t>
      </w:r>
      <w:r w:rsidRPr="006F64DA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ab/>
      </w:r>
      <w:r w:rsidR="00F90030">
        <w:rPr>
          <w:color w:val="244061" w:themeColor="accent1" w:themeShade="80"/>
        </w:rPr>
        <w:t>Rob Borthwick (RB)</w:t>
      </w:r>
    </w:p>
    <w:p w14:paraId="45CA1AB2" w14:textId="2FF5B1E7" w:rsidR="00F90030" w:rsidRPr="002809E1" w:rsidRDefault="00F90030" w:rsidP="00F90030">
      <w:pPr>
        <w:spacing w:after="0" w:line="300" w:lineRule="auto"/>
        <w:ind w:left="1395" w:hanging="1"/>
        <w:rPr>
          <w:color w:val="244061" w:themeColor="accent1" w:themeShade="80"/>
        </w:rPr>
      </w:pPr>
      <w:r w:rsidRPr="002809E1">
        <w:rPr>
          <w:color w:val="244061" w:themeColor="accent1" w:themeShade="80"/>
        </w:rPr>
        <w:t xml:space="preserve">Ed </w:t>
      </w:r>
      <w:r w:rsidR="006A431E" w:rsidRPr="002809E1">
        <w:rPr>
          <w:color w:val="244061" w:themeColor="accent1" w:themeShade="80"/>
        </w:rPr>
        <w:t>C</w:t>
      </w:r>
      <w:r w:rsidRPr="002809E1">
        <w:rPr>
          <w:color w:val="244061" w:themeColor="accent1" w:themeShade="80"/>
        </w:rPr>
        <w:t>ooper (EC)</w:t>
      </w:r>
    </w:p>
    <w:p w14:paraId="4971E7A9" w14:textId="53742190" w:rsidR="00ED29DA" w:rsidRDefault="00ED29DA" w:rsidP="00A14A2C">
      <w:pPr>
        <w:spacing w:after="0" w:line="300" w:lineRule="auto"/>
        <w:ind w:left="1395"/>
        <w:rPr>
          <w:color w:val="244061" w:themeColor="accent1" w:themeShade="80"/>
        </w:rPr>
      </w:pPr>
      <w:r>
        <w:rPr>
          <w:color w:val="244061" w:themeColor="accent1" w:themeShade="80"/>
        </w:rPr>
        <w:t>William Pitt</w:t>
      </w:r>
      <w:r w:rsidR="00C25336">
        <w:rPr>
          <w:color w:val="244061" w:themeColor="accent1" w:themeShade="80"/>
        </w:rPr>
        <w:t xml:space="preserve"> (WP)</w:t>
      </w:r>
    </w:p>
    <w:p w14:paraId="3E7BBD62" w14:textId="04360E67" w:rsidR="00ED29DA" w:rsidRDefault="00ED29DA" w:rsidP="00A14A2C">
      <w:pPr>
        <w:spacing w:after="0" w:line="300" w:lineRule="auto"/>
        <w:ind w:left="1395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Paul </w:t>
      </w:r>
      <w:proofErr w:type="spellStart"/>
      <w:r>
        <w:rPr>
          <w:color w:val="244061" w:themeColor="accent1" w:themeShade="80"/>
        </w:rPr>
        <w:t>Rumsby</w:t>
      </w:r>
      <w:proofErr w:type="spellEnd"/>
      <w:r w:rsidR="00C25336">
        <w:rPr>
          <w:color w:val="244061" w:themeColor="accent1" w:themeShade="80"/>
        </w:rPr>
        <w:t xml:space="preserve"> (PR)</w:t>
      </w:r>
    </w:p>
    <w:p w14:paraId="7981A50F" w14:textId="71F8C156" w:rsidR="00916B97" w:rsidRDefault="00BB18AD" w:rsidP="00A14A2C">
      <w:pPr>
        <w:spacing w:after="0" w:line="300" w:lineRule="auto"/>
        <w:ind w:left="1395"/>
        <w:rPr>
          <w:color w:val="244061" w:themeColor="accent1" w:themeShade="80"/>
        </w:rPr>
      </w:pPr>
      <w:r w:rsidRPr="00ED29DA">
        <w:rPr>
          <w:color w:val="244061" w:themeColor="accent1" w:themeShade="80"/>
        </w:rPr>
        <w:t>Clive Tombs</w:t>
      </w:r>
      <w:r>
        <w:rPr>
          <w:color w:val="244061" w:themeColor="accent1" w:themeShade="80"/>
        </w:rPr>
        <w:t xml:space="preserve"> (</w:t>
      </w:r>
      <w:r w:rsidR="00C25336">
        <w:rPr>
          <w:color w:val="244061" w:themeColor="accent1" w:themeShade="80"/>
        </w:rPr>
        <w:t>CT</w:t>
      </w:r>
      <w:r>
        <w:rPr>
          <w:color w:val="244061" w:themeColor="accent1" w:themeShade="80"/>
        </w:rPr>
        <w:t>)</w:t>
      </w:r>
    </w:p>
    <w:tbl>
      <w:tblPr>
        <w:tblStyle w:val="TableGrid"/>
        <w:tblW w:w="10065" w:type="dxa"/>
        <w:tblBorders>
          <w:top w:val="single" w:sz="4" w:space="0" w:color="244061" w:themeColor="accent1" w:themeShade="80"/>
          <w:left w:val="none" w:sz="0" w:space="0" w:color="auto"/>
          <w:bottom w:val="single" w:sz="4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209"/>
        <w:gridCol w:w="1428"/>
      </w:tblGrid>
      <w:tr w:rsidR="00656A1A" w:rsidRPr="00892CDE" w14:paraId="2AF4AE82" w14:textId="77777777" w:rsidTr="000D6459">
        <w:trPr>
          <w:tblHeader/>
        </w:trPr>
        <w:tc>
          <w:tcPr>
            <w:tcW w:w="142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tcMar>
              <w:left w:w="0" w:type="dxa"/>
            </w:tcMar>
          </w:tcPr>
          <w:p w14:paraId="5D3CE658" w14:textId="77777777" w:rsidR="00656A1A" w:rsidRPr="00892CDE" w:rsidRDefault="00656A1A" w:rsidP="00892CDE">
            <w:pPr>
              <w:spacing w:before="60" w:after="60" w:line="30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Ref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tcMar>
              <w:left w:w="0" w:type="dxa"/>
              <w:right w:w="0" w:type="dxa"/>
            </w:tcMar>
          </w:tcPr>
          <w:p w14:paraId="045D92F1" w14:textId="77777777" w:rsidR="00656A1A" w:rsidRPr="00892CDE" w:rsidRDefault="00656A1A" w:rsidP="00892CDE">
            <w:pPr>
              <w:spacing w:before="60" w:after="60" w:line="30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Item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tcMar>
              <w:right w:w="0" w:type="dxa"/>
            </w:tcMar>
          </w:tcPr>
          <w:p w14:paraId="14DADA48" w14:textId="77777777" w:rsidR="00656A1A" w:rsidRDefault="00656A1A" w:rsidP="00656A1A">
            <w:pPr>
              <w:spacing w:before="60" w:after="60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Action</w:t>
            </w:r>
          </w:p>
        </w:tc>
      </w:tr>
      <w:tr w:rsidR="00656A1A" w:rsidRPr="00892CDE" w14:paraId="3695417F" w14:textId="77777777" w:rsidTr="003F02E6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07D78D78" w14:textId="77777777" w:rsidR="00656A1A" w:rsidRPr="00892CDE" w:rsidRDefault="00656A1A" w:rsidP="0008375A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 w:rsidRPr="00892CDE">
              <w:rPr>
                <w:b/>
                <w:color w:val="244061" w:themeColor="accent1" w:themeShade="80"/>
              </w:rPr>
              <w:t>1.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735AD8B5" w14:textId="67788740" w:rsidR="00656A1A" w:rsidRPr="00892CDE" w:rsidRDefault="00BB18AD" w:rsidP="0008375A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Apologies</w:t>
            </w:r>
            <w:r w:rsidR="00F022DF">
              <w:rPr>
                <w:b/>
                <w:color w:val="244061" w:themeColor="accent1" w:themeShade="80"/>
              </w:rPr>
              <w:t xml:space="preserve"> Received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7F3886B8" w14:textId="77777777" w:rsidR="003F02E6" w:rsidRPr="00892CDE" w:rsidRDefault="003F02E6" w:rsidP="0008375A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656A1A" w14:paraId="48D73BEB" w14:textId="77777777" w:rsidTr="003F02E6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6FE7A55" w14:textId="77777777" w:rsidR="00656A1A" w:rsidRDefault="00656A1A" w:rsidP="0008375A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98D1EFE" w14:textId="427F3BE5" w:rsidR="007C6921" w:rsidRPr="00116B3A" w:rsidRDefault="00D67240" w:rsidP="000B35DE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Apologies </w:t>
            </w:r>
            <w:r w:rsidR="00BB18AD">
              <w:rPr>
                <w:color w:val="244061" w:themeColor="accent1" w:themeShade="80"/>
              </w:rPr>
              <w:t xml:space="preserve">had been received from </w:t>
            </w:r>
            <w:r w:rsidR="00D96AEC">
              <w:rPr>
                <w:color w:val="244061" w:themeColor="accent1" w:themeShade="80"/>
              </w:rPr>
              <w:t xml:space="preserve">Tony </w:t>
            </w:r>
            <w:r w:rsidR="00561B56">
              <w:rPr>
                <w:color w:val="244061" w:themeColor="accent1" w:themeShade="80"/>
              </w:rPr>
              <w:t xml:space="preserve">and Martha </w:t>
            </w:r>
            <w:r w:rsidR="00D96AEC">
              <w:rPr>
                <w:color w:val="244061" w:themeColor="accent1" w:themeShade="80"/>
              </w:rPr>
              <w:t xml:space="preserve">Vickers, </w:t>
            </w:r>
            <w:r w:rsidR="00811240">
              <w:rPr>
                <w:color w:val="244061" w:themeColor="accent1" w:themeShade="80"/>
              </w:rPr>
              <w:t>Josh Kerry, Angela McMahon</w:t>
            </w:r>
            <w:r w:rsidR="000010C0">
              <w:rPr>
                <w:color w:val="244061" w:themeColor="accent1" w:themeShade="80"/>
              </w:rPr>
              <w:t xml:space="preserve">, </w:t>
            </w:r>
            <w:r w:rsidR="00561B56">
              <w:rPr>
                <w:color w:val="244061" w:themeColor="accent1" w:themeShade="80"/>
              </w:rPr>
              <w:t xml:space="preserve">Andrea Parker, </w:t>
            </w:r>
            <w:r w:rsidR="000010C0">
              <w:rPr>
                <w:color w:val="244061" w:themeColor="accent1" w:themeShade="80"/>
              </w:rPr>
              <w:t xml:space="preserve">Gordon Oliver, David </w:t>
            </w:r>
            <w:proofErr w:type="gramStart"/>
            <w:r w:rsidR="000010C0">
              <w:rPr>
                <w:color w:val="244061" w:themeColor="accent1" w:themeShade="80"/>
              </w:rPr>
              <w:t>Jennings</w:t>
            </w:r>
            <w:proofErr w:type="gramEnd"/>
            <w:r w:rsidR="00561B56">
              <w:rPr>
                <w:color w:val="244061" w:themeColor="accent1" w:themeShade="80"/>
              </w:rPr>
              <w:t xml:space="preserve"> and Mike Butler</w:t>
            </w:r>
            <w:r w:rsidR="006B15DE">
              <w:rPr>
                <w:color w:val="244061" w:themeColor="accent1" w:themeShade="80"/>
              </w:rPr>
              <w:t>.</w:t>
            </w:r>
            <w:r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962A817" w14:textId="39AC0BA2" w:rsidR="0093341B" w:rsidRPr="00737F1A" w:rsidRDefault="0093341B" w:rsidP="00063537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EA2946" w:rsidRPr="00892CDE" w14:paraId="13EF2466" w14:textId="77777777" w:rsidTr="001E1A9A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10140ED7" w14:textId="5BC30FE5" w:rsidR="00EA2946" w:rsidRPr="00892CDE" w:rsidRDefault="00EA2946" w:rsidP="001E1A9A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6C8A11C3" w14:textId="6085EEDA" w:rsidR="00EA2946" w:rsidRPr="00892CDE" w:rsidRDefault="00FD72B5" w:rsidP="001E1A9A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Review of Minutes</w:t>
            </w:r>
            <w:r w:rsidR="00F022DF">
              <w:rPr>
                <w:b/>
                <w:color w:val="244061" w:themeColor="accent1" w:themeShade="80"/>
              </w:rPr>
              <w:t xml:space="preserve"> of </w:t>
            </w:r>
            <w:r w:rsidR="00866F72">
              <w:rPr>
                <w:b/>
                <w:color w:val="244061" w:themeColor="accent1" w:themeShade="80"/>
              </w:rPr>
              <w:t>202</w:t>
            </w:r>
            <w:r w:rsidR="00D01BB5">
              <w:rPr>
                <w:b/>
                <w:color w:val="244061" w:themeColor="accent1" w:themeShade="80"/>
              </w:rPr>
              <w:t>1</w:t>
            </w:r>
            <w:r w:rsidR="00F022DF">
              <w:rPr>
                <w:b/>
                <w:color w:val="244061" w:themeColor="accent1" w:themeShade="80"/>
              </w:rPr>
              <w:t xml:space="preserve"> AGM</w:t>
            </w:r>
            <w:r w:rsidR="00866F72">
              <w:rPr>
                <w:b/>
                <w:color w:val="244061" w:themeColor="accent1" w:themeShade="80"/>
              </w:rPr>
              <w:t xml:space="preserve"> and Matters Arising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07D866DF" w14:textId="77777777" w:rsidR="00EA2946" w:rsidRPr="00892CDE" w:rsidRDefault="00EA2946" w:rsidP="001E1A9A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ED29DA" w14:paraId="29159A6A" w14:textId="77777777" w:rsidTr="000829ED">
        <w:trPr>
          <w:trHeight w:val="667"/>
        </w:trPr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F2A2686" w14:textId="77777777" w:rsidR="00ED29DA" w:rsidRDefault="00ED29DA" w:rsidP="0008375A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F14D0D3" w14:textId="2075B296" w:rsidR="00A14A2C" w:rsidRPr="005C0338" w:rsidRDefault="00F022DF" w:rsidP="005C0338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The Minutes </w:t>
            </w:r>
            <w:r w:rsidR="00C25336">
              <w:rPr>
                <w:color w:val="244061" w:themeColor="accent1" w:themeShade="80"/>
              </w:rPr>
              <w:t xml:space="preserve">of the preceding AGM held on </w:t>
            </w:r>
            <w:r w:rsidR="004E6175">
              <w:rPr>
                <w:color w:val="244061" w:themeColor="accent1" w:themeShade="80"/>
              </w:rPr>
              <w:t>2</w:t>
            </w:r>
            <w:r w:rsidR="005C0338">
              <w:rPr>
                <w:color w:val="244061" w:themeColor="accent1" w:themeShade="80"/>
              </w:rPr>
              <w:t>8</w:t>
            </w:r>
            <w:r w:rsidR="00C25336">
              <w:rPr>
                <w:color w:val="244061" w:themeColor="accent1" w:themeShade="80"/>
              </w:rPr>
              <w:t xml:space="preserve"> June 202</w:t>
            </w:r>
            <w:r w:rsidR="005C0338">
              <w:rPr>
                <w:color w:val="244061" w:themeColor="accent1" w:themeShade="80"/>
              </w:rPr>
              <w:t>2</w:t>
            </w:r>
            <w:r w:rsidR="00C25336">
              <w:rPr>
                <w:color w:val="244061" w:themeColor="accent1" w:themeShade="80"/>
              </w:rPr>
              <w:t xml:space="preserve"> were agreed</w:t>
            </w:r>
            <w:r w:rsidR="00DD7868">
              <w:rPr>
                <w:color w:val="244061" w:themeColor="accent1" w:themeShade="80"/>
              </w:rPr>
              <w:t>.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C9C0918" w14:textId="5D81B81D" w:rsidR="009A04B0" w:rsidRDefault="009A04B0" w:rsidP="005A7C87">
            <w:pPr>
              <w:spacing w:beforeLines="60" w:before="144" w:afterLines="60" w:after="144" w:line="300" w:lineRule="auto"/>
              <w:contextualSpacing/>
              <w:rPr>
                <w:b/>
                <w:color w:val="244061" w:themeColor="accent1" w:themeShade="80"/>
              </w:rPr>
            </w:pPr>
          </w:p>
        </w:tc>
      </w:tr>
      <w:tr w:rsidR="00EA2946" w:rsidRPr="00892CDE" w14:paraId="0A49742C" w14:textId="77777777" w:rsidTr="001E1A9A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4055DE68" w14:textId="7DB37994" w:rsidR="00EA2946" w:rsidRPr="00892CDE" w:rsidRDefault="00EA2946" w:rsidP="001E1A9A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39421ACB" w14:textId="105EF373" w:rsidR="00EA2946" w:rsidRPr="00892CDE" w:rsidRDefault="004C2F62" w:rsidP="001E1A9A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Reports from O</w:t>
            </w:r>
            <w:r w:rsidR="00F022DF">
              <w:rPr>
                <w:b/>
                <w:color w:val="244061" w:themeColor="accent1" w:themeShade="80"/>
              </w:rPr>
              <w:t>f</w:t>
            </w:r>
            <w:r>
              <w:rPr>
                <w:b/>
                <w:color w:val="244061" w:themeColor="accent1" w:themeShade="80"/>
              </w:rPr>
              <w:t>ficers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380A9D83" w14:textId="77777777" w:rsidR="00EA2946" w:rsidRPr="00892CDE" w:rsidRDefault="00EA2946" w:rsidP="001E1A9A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EA2946" w14:paraId="110B1F6F" w14:textId="77777777" w:rsidTr="001E1A9A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EFA7DB2" w14:textId="77777777" w:rsidR="00EA2946" w:rsidRDefault="00EA2946" w:rsidP="001E1A9A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21D4E61" w14:textId="5F271A19" w:rsidR="00EA2946" w:rsidRDefault="004C2F62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Chair</w:t>
            </w:r>
            <w:r w:rsidR="00C742A0" w:rsidRPr="009E43C7">
              <w:rPr>
                <w:b/>
                <w:bCs/>
                <w:color w:val="244061" w:themeColor="accent1" w:themeShade="80"/>
              </w:rPr>
              <w:t>, CL:</w:t>
            </w:r>
            <w:r w:rsidR="00C742A0">
              <w:rPr>
                <w:color w:val="244061" w:themeColor="accent1" w:themeShade="80"/>
              </w:rPr>
              <w:t xml:space="preserve"> </w:t>
            </w:r>
            <w:r w:rsidR="00702148">
              <w:rPr>
                <w:color w:val="244061" w:themeColor="accent1" w:themeShade="80"/>
              </w:rPr>
              <w:t>Not present</w:t>
            </w:r>
            <w:r w:rsidR="007D05A9">
              <w:rPr>
                <w:color w:val="244061" w:themeColor="accent1" w:themeShade="80"/>
              </w:rPr>
              <w:t xml:space="preserve"> -</w:t>
            </w:r>
            <w:r w:rsidR="00702148">
              <w:rPr>
                <w:color w:val="244061" w:themeColor="accent1" w:themeShade="80"/>
              </w:rPr>
              <w:t xml:space="preserve"> no report</w:t>
            </w:r>
          </w:p>
          <w:p w14:paraId="6A690E20" w14:textId="653243CB" w:rsidR="00A529D6" w:rsidRPr="00A529D6" w:rsidRDefault="00A529D6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b/>
                <w:bCs/>
                <w:color w:val="244061" w:themeColor="accent1" w:themeShade="80"/>
              </w:rPr>
            </w:pPr>
            <w:r w:rsidRPr="00A529D6">
              <w:rPr>
                <w:b/>
                <w:bCs/>
                <w:color w:val="244061" w:themeColor="accent1" w:themeShade="80"/>
              </w:rPr>
              <w:t xml:space="preserve">Secretary: </w:t>
            </w:r>
            <w:r w:rsidRPr="00A529D6">
              <w:rPr>
                <w:color w:val="244061" w:themeColor="accent1" w:themeShade="80"/>
              </w:rPr>
              <w:t>This position had remained vacant throughout 202</w:t>
            </w:r>
            <w:r w:rsidR="005B295A">
              <w:rPr>
                <w:color w:val="244061" w:themeColor="accent1" w:themeShade="80"/>
              </w:rPr>
              <w:t>2</w:t>
            </w:r>
            <w:r w:rsidRPr="00A529D6">
              <w:rPr>
                <w:color w:val="244061" w:themeColor="accent1" w:themeShade="80"/>
              </w:rPr>
              <w:t>/2</w:t>
            </w:r>
            <w:r w:rsidR="005B295A">
              <w:rPr>
                <w:color w:val="244061" w:themeColor="accent1" w:themeShade="80"/>
              </w:rPr>
              <w:t>3</w:t>
            </w:r>
            <w:r w:rsidRPr="00A529D6">
              <w:rPr>
                <w:color w:val="244061" w:themeColor="accent1" w:themeShade="80"/>
              </w:rPr>
              <w:t>.</w:t>
            </w:r>
          </w:p>
          <w:p w14:paraId="7FACE621" w14:textId="7A210AFE" w:rsidR="004C2F62" w:rsidRDefault="004C2F62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Membership Sec</w:t>
            </w:r>
            <w:r w:rsidR="00FE6D86" w:rsidRPr="009E43C7">
              <w:rPr>
                <w:b/>
                <w:bCs/>
                <w:color w:val="244061" w:themeColor="accent1" w:themeShade="80"/>
              </w:rPr>
              <w:t>retary, PR:</w:t>
            </w:r>
            <w:r w:rsidR="00FE6D86">
              <w:rPr>
                <w:color w:val="244061" w:themeColor="accent1" w:themeShade="80"/>
              </w:rPr>
              <w:t xml:space="preserve"> </w:t>
            </w:r>
            <w:r w:rsidR="001156DB">
              <w:rPr>
                <w:color w:val="244061" w:themeColor="accent1" w:themeShade="80"/>
              </w:rPr>
              <w:t>M</w:t>
            </w:r>
            <w:r w:rsidR="00EC007E">
              <w:rPr>
                <w:color w:val="244061" w:themeColor="accent1" w:themeShade="80"/>
              </w:rPr>
              <w:t>embership had increased over the year from 167</w:t>
            </w:r>
            <w:r w:rsidR="005B295A">
              <w:rPr>
                <w:color w:val="244061" w:themeColor="accent1" w:themeShade="80"/>
              </w:rPr>
              <w:t xml:space="preserve"> to 174.</w:t>
            </w:r>
          </w:p>
          <w:p w14:paraId="2C8253E6" w14:textId="335ECBFE" w:rsidR="004C2F62" w:rsidRPr="00642513" w:rsidRDefault="004C2F62" w:rsidP="00642513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Treasurer</w:t>
            </w:r>
            <w:r w:rsidR="00FE6D86" w:rsidRPr="009E43C7">
              <w:rPr>
                <w:b/>
                <w:bCs/>
                <w:color w:val="244061" w:themeColor="accent1" w:themeShade="80"/>
              </w:rPr>
              <w:t>, EC:</w:t>
            </w:r>
            <w:r w:rsidR="00FE6D86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 xml:space="preserve"> </w:t>
            </w:r>
            <w:r w:rsidR="001156DB">
              <w:rPr>
                <w:color w:val="244061" w:themeColor="accent1" w:themeShade="80"/>
              </w:rPr>
              <w:t>Spokes funds had increased from £</w:t>
            </w:r>
            <w:r w:rsidR="007B4628">
              <w:rPr>
                <w:color w:val="244061" w:themeColor="accent1" w:themeShade="80"/>
              </w:rPr>
              <w:t>10,900</w:t>
            </w:r>
            <w:r w:rsidR="001156DB">
              <w:rPr>
                <w:color w:val="244061" w:themeColor="accent1" w:themeShade="80"/>
              </w:rPr>
              <w:t xml:space="preserve"> to £1</w:t>
            </w:r>
            <w:r w:rsidR="007B4628">
              <w:rPr>
                <w:color w:val="244061" w:themeColor="accent1" w:themeShade="80"/>
              </w:rPr>
              <w:t>2</w:t>
            </w:r>
            <w:r w:rsidR="001156DB">
              <w:rPr>
                <w:color w:val="244061" w:themeColor="accent1" w:themeShade="80"/>
              </w:rPr>
              <w:t>,</w:t>
            </w:r>
            <w:r w:rsidR="007B4628">
              <w:rPr>
                <w:color w:val="244061" w:themeColor="accent1" w:themeShade="80"/>
              </w:rPr>
              <w:t xml:space="preserve">224.61 </w:t>
            </w:r>
            <w:r w:rsidR="002B068B">
              <w:rPr>
                <w:color w:val="244061" w:themeColor="accent1" w:themeShade="80"/>
              </w:rPr>
              <w:t>and there was a need to find suitable projects</w:t>
            </w:r>
            <w:r w:rsidR="00CA7473">
              <w:rPr>
                <w:color w:val="244061" w:themeColor="accent1" w:themeShade="80"/>
              </w:rPr>
              <w:t xml:space="preserve"> to allocate the money to. £2,000 had been allocated to </w:t>
            </w:r>
            <w:r w:rsidR="00492015">
              <w:rPr>
                <w:color w:val="244061" w:themeColor="accent1" w:themeShade="80"/>
              </w:rPr>
              <w:t>planned</w:t>
            </w:r>
            <w:r w:rsidR="00CA7473">
              <w:rPr>
                <w:color w:val="244061" w:themeColor="accent1" w:themeShade="80"/>
              </w:rPr>
              <w:t xml:space="preserve"> towpath improvements</w:t>
            </w:r>
            <w:r w:rsidR="00492015">
              <w:rPr>
                <w:color w:val="244061" w:themeColor="accent1" w:themeShade="80"/>
              </w:rPr>
              <w:t xml:space="preserve"> east of Ham Bridge</w:t>
            </w:r>
            <w:r w:rsidR="00107E83">
              <w:rPr>
                <w:color w:val="244061" w:themeColor="accent1" w:themeShade="80"/>
              </w:rPr>
              <w:t xml:space="preserve">. </w:t>
            </w:r>
          </w:p>
          <w:p w14:paraId="3C770DA8" w14:textId="06688BFE" w:rsidR="004C2F62" w:rsidRDefault="004C2F62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Highways Officer:</w:t>
            </w:r>
            <w:r>
              <w:rPr>
                <w:color w:val="244061" w:themeColor="accent1" w:themeShade="80"/>
              </w:rPr>
              <w:t xml:space="preserve"> </w:t>
            </w:r>
            <w:r w:rsidR="00107E83">
              <w:rPr>
                <w:color w:val="244061" w:themeColor="accent1" w:themeShade="80"/>
              </w:rPr>
              <w:t>vacant post</w:t>
            </w:r>
          </w:p>
          <w:p w14:paraId="59664FEE" w14:textId="3CE1EFBC" w:rsidR="00D852A4" w:rsidRDefault="003D031E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Events Manager</w:t>
            </w:r>
            <w:r w:rsidR="00836714">
              <w:rPr>
                <w:b/>
                <w:bCs/>
                <w:color w:val="244061" w:themeColor="accent1" w:themeShade="80"/>
              </w:rPr>
              <w:t xml:space="preserve"> / Vice Chair</w:t>
            </w:r>
            <w:r w:rsidR="00D852A4" w:rsidRPr="009E43C7">
              <w:rPr>
                <w:b/>
                <w:bCs/>
                <w:color w:val="244061" w:themeColor="accent1" w:themeShade="80"/>
              </w:rPr>
              <w:t>, WP:</w:t>
            </w:r>
            <w:r w:rsidR="00D852A4">
              <w:rPr>
                <w:color w:val="244061" w:themeColor="accent1" w:themeShade="80"/>
              </w:rPr>
              <w:t xml:space="preserve">  </w:t>
            </w:r>
            <w:r w:rsidR="00C47391">
              <w:rPr>
                <w:color w:val="244061" w:themeColor="accent1" w:themeShade="80"/>
              </w:rPr>
              <w:t xml:space="preserve">10 rides during the year.  </w:t>
            </w:r>
            <w:r w:rsidR="003B39EB">
              <w:rPr>
                <w:color w:val="244061" w:themeColor="accent1" w:themeShade="80"/>
              </w:rPr>
              <w:t xml:space="preserve">Numbers </w:t>
            </w:r>
            <w:r w:rsidR="00C47391">
              <w:rPr>
                <w:color w:val="244061" w:themeColor="accent1" w:themeShade="80"/>
              </w:rPr>
              <w:t xml:space="preserve">average 6 per </w:t>
            </w:r>
            <w:r w:rsidR="00492015">
              <w:rPr>
                <w:color w:val="244061" w:themeColor="accent1" w:themeShade="80"/>
              </w:rPr>
              <w:t>ride,</w:t>
            </w:r>
            <w:r w:rsidR="00C47391">
              <w:rPr>
                <w:color w:val="244061" w:themeColor="accent1" w:themeShade="80"/>
              </w:rPr>
              <w:t xml:space="preserve"> which is down fr</w:t>
            </w:r>
            <w:r w:rsidR="00492015">
              <w:rPr>
                <w:color w:val="244061" w:themeColor="accent1" w:themeShade="80"/>
              </w:rPr>
              <w:t>o</w:t>
            </w:r>
            <w:r w:rsidR="00C47391">
              <w:rPr>
                <w:color w:val="244061" w:themeColor="accent1" w:themeShade="80"/>
              </w:rPr>
              <w:t>m previous average of 10 per ride</w:t>
            </w:r>
            <w:r w:rsidR="00C66314">
              <w:rPr>
                <w:color w:val="244061" w:themeColor="accent1" w:themeShade="80"/>
              </w:rPr>
              <w:t xml:space="preserve">.  Spokes attended </w:t>
            </w:r>
            <w:proofErr w:type="spellStart"/>
            <w:r w:rsidR="00C66314">
              <w:rPr>
                <w:color w:val="244061" w:themeColor="accent1" w:themeShade="80"/>
              </w:rPr>
              <w:t>Greenfest</w:t>
            </w:r>
            <w:proofErr w:type="spellEnd"/>
            <w:r w:rsidR="00C66314">
              <w:rPr>
                <w:color w:val="244061" w:themeColor="accent1" w:themeShade="80"/>
              </w:rPr>
              <w:t xml:space="preserve"> at Hampstead </w:t>
            </w:r>
            <w:proofErr w:type="spellStart"/>
            <w:r w:rsidR="00C66314">
              <w:rPr>
                <w:color w:val="244061" w:themeColor="accent1" w:themeShade="80"/>
              </w:rPr>
              <w:t>Norreys</w:t>
            </w:r>
            <w:proofErr w:type="spellEnd"/>
            <w:r w:rsidR="00C66314">
              <w:rPr>
                <w:color w:val="244061" w:themeColor="accent1" w:themeShade="80"/>
              </w:rPr>
              <w:t>.</w:t>
            </w:r>
          </w:p>
          <w:p w14:paraId="081736DA" w14:textId="0C23A34A" w:rsidR="00813FDC" w:rsidRDefault="00813FDC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Website Editor</w:t>
            </w:r>
            <w:r w:rsidR="0026711A" w:rsidRPr="009E43C7">
              <w:rPr>
                <w:b/>
                <w:bCs/>
                <w:color w:val="244061" w:themeColor="accent1" w:themeShade="80"/>
              </w:rPr>
              <w:t xml:space="preserve">, </w:t>
            </w:r>
            <w:r w:rsidR="007B74A6">
              <w:rPr>
                <w:b/>
                <w:bCs/>
                <w:color w:val="244061" w:themeColor="accent1" w:themeShade="80"/>
              </w:rPr>
              <w:t>DJ</w:t>
            </w:r>
            <w:r w:rsidRPr="009E43C7">
              <w:rPr>
                <w:b/>
                <w:bCs/>
                <w:color w:val="244061" w:themeColor="accent1" w:themeShade="80"/>
              </w:rPr>
              <w:t>:</w:t>
            </w:r>
            <w:r w:rsidR="00111521">
              <w:rPr>
                <w:color w:val="244061" w:themeColor="accent1" w:themeShade="80"/>
              </w:rPr>
              <w:t xml:space="preserve"> </w:t>
            </w:r>
            <w:r w:rsidR="00C47391">
              <w:rPr>
                <w:color w:val="244061" w:themeColor="accent1" w:themeShade="80"/>
              </w:rPr>
              <w:t xml:space="preserve">Not present no </w:t>
            </w:r>
            <w:proofErr w:type="gramStart"/>
            <w:r w:rsidR="00C47391">
              <w:rPr>
                <w:color w:val="244061" w:themeColor="accent1" w:themeShade="80"/>
              </w:rPr>
              <w:t>report</w:t>
            </w:r>
            <w:proofErr w:type="gramEnd"/>
          </w:p>
          <w:p w14:paraId="00E07EEA" w14:textId="4E3BF24C" w:rsidR="00813FDC" w:rsidRDefault="00813FDC" w:rsidP="00A14A2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Cycle Counts</w:t>
            </w:r>
            <w:r w:rsidR="0026711A" w:rsidRPr="009E43C7">
              <w:rPr>
                <w:b/>
                <w:bCs/>
                <w:color w:val="244061" w:themeColor="accent1" w:themeShade="80"/>
              </w:rPr>
              <w:t xml:space="preserve">, </w:t>
            </w:r>
            <w:r w:rsidR="005D6FCE">
              <w:rPr>
                <w:b/>
                <w:bCs/>
                <w:color w:val="244061" w:themeColor="accent1" w:themeShade="80"/>
              </w:rPr>
              <w:t>RB</w:t>
            </w:r>
            <w:r w:rsidR="0026711A" w:rsidRPr="009E43C7">
              <w:rPr>
                <w:b/>
                <w:bCs/>
                <w:color w:val="244061" w:themeColor="accent1" w:themeShade="80"/>
              </w:rPr>
              <w:t>:</w:t>
            </w:r>
            <w:r w:rsidR="0026711A">
              <w:rPr>
                <w:color w:val="244061" w:themeColor="accent1" w:themeShade="80"/>
              </w:rPr>
              <w:t xml:space="preserve"> </w:t>
            </w:r>
            <w:r w:rsidR="00C86B44">
              <w:rPr>
                <w:color w:val="244061" w:themeColor="accent1" w:themeShade="80"/>
              </w:rPr>
              <w:t xml:space="preserve">All counts had been completed, but </w:t>
            </w:r>
            <w:r w:rsidR="00122E0D">
              <w:rPr>
                <w:color w:val="244061" w:themeColor="accent1" w:themeShade="80"/>
              </w:rPr>
              <w:t>each time it was a struggle to find enough people to do them</w:t>
            </w:r>
            <w:r w:rsidR="00AE476F">
              <w:rPr>
                <w:color w:val="244061" w:themeColor="accent1" w:themeShade="80"/>
              </w:rPr>
              <w:t xml:space="preserve">. </w:t>
            </w:r>
            <w:r w:rsidR="005C3ABF">
              <w:rPr>
                <w:color w:val="244061" w:themeColor="accent1" w:themeShade="80"/>
              </w:rPr>
              <w:t>Rob to check whether the trends would be apparent on</w:t>
            </w:r>
            <w:r w:rsidR="004A6C32">
              <w:rPr>
                <w:color w:val="244061" w:themeColor="accent1" w:themeShade="80"/>
              </w:rPr>
              <w:t xml:space="preserve"> </w:t>
            </w:r>
            <w:r w:rsidR="005C3ABF">
              <w:rPr>
                <w:color w:val="244061" w:themeColor="accent1" w:themeShade="80"/>
              </w:rPr>
              <w:t xml:space="preserve">a </w:t>
            </w:r>
            <w:proofErr w:type="gramStart"/>
            <w:r w:rsidR="005C3ABF">
              <w:rPr>
                <w:color w:val="244061" w:themeColor="accent1" w:themeShade="80"/>
              </w:rPr>
              <w:t>1 hour</w:t>
            </w:r>
            <w:proofErr w:type="gramEnd"/>
            <w:r w:rsidR="005C3ABF">
              <w:rPr>
                <w:color w:val="244061" w:themeColor="accent1" w:themeShade="80"/>
              </w:rPr>
              <w:t xml:space="preserve"> survey rather than </w:t>
            </w:r>
            <w:r w:rsidR="004A6C32">
              <w:rPr>
                <w:color w:val="244061" w:themeColor="accent1" w:themeShade="80"/>
              </w:rPr>
              <w:t>2</w:t>
            </w:r>
            <w:r w:rsidR="007B74A6">
              <w:rPr>
                <w:color w:val="244061" w:themeColor="accent1" w:themeShade="80"/>
              </w:rPr>
              <w:t xml:space="preserve"> </w:t>
            </w:r>
            <w:r w:rsidR="004A6C32">
              <w:rPr>
                <w:color w:val="244061" w:themeColor="accent1" w:themeShade="80"/>
              </w:rPr>
              <w:t>hour.</w:t>
            </w:r>
          </w:p>
          <w:p w14:paraId="26E1413E" w14:textId="77777777" w:rsidR="001941A6" w:rsidRDefault="00813FDC" w:rsidP="0007195F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9E43C7">
              <w:rPr>
                <w:b/>
                <w:bCs/>
                <w:color w:val="244061" w:themeColor="accent1" w:themeShade="80"/>
              </w:rPr>
              <w:t>Training</w:t>
            </w:r>
            <w:r w:rsidR="004A6C32">
              <w:rPr>
                <w:b/>
                <w:bCs/>
                <w:color w:val="244061" w:themeColor="accent1" w:themeShade="80"/>
              </w:rPr>
              <w:t>;</w:t>
            </w:r>
            <w:r w:rsidR="00030608" w:rsidRPr="009E43C7">
              <w:rPr>
                <w:b/>
                <w:bCs/>
                <w:color w:val="244061" w:themeColor="accent1" w:themeShade="80"/>
              </w:rPr>
              <w:t xml:space="preserve"> </w:t>
            </w:r>
            <w:r w:rsidR="004A6C32" w:rsidRPr="004A6C32">
              <w:rPr>
                <w:color w:val="244061" w:themeColor="accent1" w:themeShade="80"/>
              </w:rPr>
              <w:t>vacant no report</w:t>
            </w:r>
          </w:p>
          <w:p w14:paraId="40D3802C" w14:textId="77777777" w:rsidR="00561B56" w:rsidRDefault="00561B56" w:rsidP="00561B56">
            <w:p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</w:p>
          <w:p w14:paraId="2AB4FAF8" w14:textId="272FDE7F" w:rsidR="00561B56" w:rsidRPr="00561B56" w:rsidRDefault="00561B56" w:rsidP="00561B56">
            <w:p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CEEEBCA" w14:textId="77777777" w:rsidR="002B26E9" w:rsidRDefault="005E13F9" w:rsidP="005E13F9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</w:p>
          <w:p w14:paraId="152C2BCE" w14:textId="77777777" w:rsidR="005E13F9" w:rsidRDefault="005E13F9" w:rsidP="005E13F9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</w:p>
          <w:p w14:paraId="289F4FF3" w14:textId="77777777" w:rsidR="005E13F9" w:rsidRDefault="005E13F9" w:rsidP="005E13F9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</w:p>
          <w:p w14:paraId="7C0CC5BF" w14:textId="512E4AC6" w:rsidR="005E13F9" w:rsidRDefault="005E13F9" w:rsidP="005E13F9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</w:p>
        </w:tc>
      </w:tr>
      <w:tr w:rsidR="00866F72" w:rsidRPr="00892CDE" w14:paraId="012FAE76" w14:textId="77777777" w:rsidTr="00DF60D5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68E2BDE1" w14:textId="16F1468F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lastRenderedPageBreak/>
              <w:t>4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5D9B45F7" w14:textId="718D4C03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Review of Constitution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28D7FDC8" w14:textId="77777777" w:rsidR="00866F72" w:rsidRPr="00892CDE" w:rsidRDefault="00866F72" w:rsidP="00DF60D5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14:paraId="0A634F3B" w14:textId="77777777" w:rsidTr="00DF60D5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D449F50" w14:textId="77777777" w:rsidR="00866F72" w:rsidRDefault="00866F72" w:rsidP="00DF60D5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9B2E2CE" w14:textId="4C9C9D22" w:rsidR="00655ECA" w:rsidRDefault="002943CB" w:rsidP="00843EC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The proposed </w:t>
            </w:r>
            <w:r w:rsidR="004F0E69">
              <w:rPr>
                <w:color w:val="244061" w:themeColor="accent1" w:themeShade="80"/>
              </w:rPr>
              <w:t xml:space="preserve">addition of 1.2.3 </w:t>
            </w:r>
            <w:r>
              <w:rPr>
                <w:color w:val="244061" w:themeColor="accent1" w:themeShade="80"/>
              </w:rPr>
              <w:t>changes were approved</w:t>
            </w:r>
            <w:r w:rsidR="00062E60">
              <w:rPr>
                <w:color w:val="244061" w:themeColor="accent1" w:themeShade="80"/>
              </w:rPr>
              <w:t>.</w:t>
            </w:r>
          </w:p>
          <w:p w14:paraId="0F4FC4D2" w14:textId="11E4E1F7" w:rsidR="00F42C28" w:rsidRPr="00E03019" w:rsidRDefault="00415BE7" w:rsidP="00415BE7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</w:pPr>
            <w:r>
              <w:rPr>
                <w:color w:val="244061" w:themeColor="accent1" w:themeShade="80"/>
              </w:rPr>
              <w:t>The proposed addition of 1.4.2 changes were approved</w:t>
            </w:r>
            <w:r w:rsidR="002B524F">
              <w:rPr>
                <w:color w:val="244061" w:themeColor="accent1" w:themeShade="80"/>
              </w:rPr>
              <w:t xml:space="preserve"> with a revised wording - </w:t>
            </w:r>
            <w:r w:rsidR="007B5A91">
              <w:rPr>
                <w:lang w:val="en-US"/>
              </w:rPr>
              <w:t xml:space="preserve">Spokes is a non-political </w:t>
            </w:r>
            <w:r w:rsidR="007B5A91" w:rsidRPr="000C1BBA">
              <w:t>organisation</w:t>
            </w:r>
            <w:r w:rsidR="00A13AC6">
              <w:t>,</w:t>
            </w:r>
            <w:r w:rsidR="007B5A91">
              <w:t xml:space="preserve"> as is necessary to fulfil its role as detailed in 1.2.3</w:t>
            </w:r>
            <w:r w:rsidR="007B5A91">
              <w:rPr>
                <w:lang w:val="en-US"/>
              </w:rPr>
              <w:t xml:space="preserve"> and as such</w:t>
            </w:r>
            <w:r w:rsidR="00A13AC6">
              <w:rPr>
                <w:lang w:val="en-US"/>
              </w:rPr>
              <w:t>;</w:t>
            </w:r>
            <w:r w:rsidR="007B5A91">
              <w:rPr>
                <w:lang w:val="en-US"/>
              </w:rPr>
              <w:t xml:space="preserve"> serving elected members of local authorities within West Berkshire (</w:t>
            </w:r>
            <w:proofErr w:type="gramStart"/>
            <w:r w:rsidR="007B5A91">
              <w:rPr>
                <w:lang w:val="en-US"/>
              </w:rPr>
              <w:t>i.e.</w:t>
            </w:r>
            <w:proofErr w:type="gramEnd"/>
            <w:r w:rsidR="007B5A91">
              <w:rPr>
                <w:lang w:val="en-US"/>
              </w:rPr>
              <w:t xml:space="preserve"> West Berkshire Council, town or parish councils, or parish meetings) are not permitted to be members of the Committee</w:t>
            </w:r>
            <w:r w:rsidR="00714997">
              <w:rPr>
                <w:lang w:val="en-US"/>
              </w:rPr>
              <w:t xml:space="preserve">.  </w:t>
            </w:r>
            <w:r w:rsidR="00D734F9">
              <w:rPr>
                <w:lang w:val="en-US"/>
              </w:rPr>
              <w:t xml:space="preserve">Parish Council members who are unaffiliated </w:t>
            </w:r>
            <w:proofErr w:type="gramStart"/>
            <w:r w:rsidR="00D734F9">
              <w:rPr>
                <w:lang w:val="en-US"/>
              </w:rPr>
              <w:t>to</w:t>
            </w:r>
            <w:proofErr w:type="gramEnd"/>
            <w:r w:rsidR="00D734F9">
              <w:rPr>
                <w:lang w:val="en-US"/>
              </w:rPr>
              <w:t xml:space="preserve"> a political party can be considered for committee positions</w:t>
            </w:r>
            <w:r w:rsidR="003F4508">
              <w:rPr>
                <w:lang w:val="en-US"/>
              </w:rPr>
              <w:t xml:space="preserve"> at the AGM.</w:t>
            </w:r>
          </w:p>
          <w:p w14:paraId="6483545C" w14:textId="4C52063D" w:rsidR="00A315CA" w:rsidRPr="00415BE7" w:rsidRDefault="00A315CA" w:rsidP="00415BE7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E03019">
              <w:t>Version 15 of the const</w:t>
            </w:r>
            <w:r w:rsidR="00E03019" w:rsidRPr="00E03019">
              <w:t>itution contains these agreed changes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9F0DC60" w14:textId="77777777" w:rsidR="00866F72" w:rsidRDefault="007C309B" w:rsidP="008E5176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</w:p>
          <w:p w14:paraId="1E93AA38" w14:textId="77777777" w:rsidR="007C309B" w:rsidRDefault="007C309B" w:rsidP="008E5176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  <w:r>
              <w:rPr>
                <w:b/>
                <w:color w:val="244061" w:themeColor="accent1" w:themeShade="80"/>
              </w:rPr>
              <w:br/>
            </w:r>
          </w:p>
          <w:p w14:paraId="7BB28348" w14:textId="6A6404A2" w:rsidR="007C309B" w:rsidRDefault="007C309B" w:rsidP="008E5176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  <w:r w:rsidR="00F42C28">
              <w:rPr>
                <w:b/>
                <w:color w:val="244061" w:themeColor="accent1" w:themeShade="80"/>
              </w:rPr>
              <w:br/>
            </w:r>
          </w:p>
        </w:tc>
      </w:tr>
      <w:tr w:rsidR="00866F72" w:rsidRPr="00892CDE" w14:paraId="3C25DDEC" w14:textId="77777777" w:rsidTr="00DF60D5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1CC23690" w14:textId="1795CA8D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5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61B3F3DF" w14:textId="7A33D4CD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Confirmation of Required Officers’ Roles for Committee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4F9FAFBE" w14:textId="77777777" w:rsidR="00866F72" w:rsidRPr="00892CDE" w:rsidRDefault="00866F72" w:rsidP="00DF60D5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14:paraId="109277AA" w14:textId="77777777" w:rsidTr="00DF60D5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3BF6EAB" w14:textId="77777777" w:rsidR="00866F72" w:rsidRDefault="00866F72" w:rsidP="00DF60D5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E47B603" w14:textId="0F443EDE" w:rsidR="00866F72" w:rsidRPr="00843EC9" w:rsidRDefault="007576FC" w:rsidP="00843EC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All current roles </w:t>
            </w:r>
            <w:r w:rsidR="008E461D">
              <w:rPr>
                <w:color w:val="244061" w:themeColor="accent1" w:themeShade="80"/>
              </w:rPr>
              <w:t xml:space="preserve">were </w:t>
            </w:r>
            <w:r>
              <w:rPr>
                <w:color w:val="244061" w:themeColor="accent1" w:themeShade="80"/>
              </w:rPr>
              <w:t>up for re-election</w:t>
            </w:r>
            <w:r w:rsidR="008E461D">
              <w:rPr>
                <w:color w:val="244061" w:themeColor="accent1" w:themeShade="80"/>
              </w:rPr>
              <w:t>.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C547ED5" w14:textId="77777777" w:rsidR="00866F72" w:rsidRDefault="00866F72" w:rsidP="007576FC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:rsidRPr="00892CDE" w14:paraId="17A2DB1E" w14:textId="77777777" w:rsidTr="00DF60D5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7CD08DF1" w14:textId="5643D090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6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67E2466B" w14:textId="5E732EBE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Election of Spokes Committee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6EB4580D" w14:textId="77777777" w:rsidR="00866F72" w:rsidRPr="00892CDE" w:rsidRDefault="00866F72" w:rsidP="00DF60D5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14:paraId="0EF2C8D0" w14:textId="77777777" w:rsidTr="00DF60D5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DBCD30E" w14:textId="77777777" w:rsidR="00866F72" w:rsidRDefault="00866F72" w:rsidP="00DF60D5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3263171" w14:textId="1CD56597" w:rsidR="00615F05" w:rsidRPr="00615F05" w:rsidRDefault="00B074CB" w:rsidP="007A7082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Election to the Spokes Committee roles was as follows:</w:t>
            </w:r>
          </w:p>
          <w:p w14:paraId="57F2D632" w14:textId="5005D805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Chair – </w:t>
            </w:r>
            <w:r w:rsidR="00E03019">
              <w:rPr>
                <w:color w:val="244061" w:themeColor="accent1" w:themeShade="80"/>
              </w:rPr>
              <w:t>William Pitt</w:t>
            </w:r>
          </w:p>
          <w:p w14:paraId="1A1022F8" w14:textId="17EECE35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Vice-Chair – </w:t>
            </w:r>
            <w:r w:rsidR="00CE5B66">
              <w:rPr>
                <w:color w:val="244061" w:themeColor="accent1" w:themeShade="80"/>
              </w:rPr>
              <w:t>vacant</w:t>
            </w:r>
            <w:r w:rsidRPr="008E461D">
              <w:rPr>
                <w:color w:val="244061" w:themeColor="accent1" w:themeShade="80"/>
              </w:rPr>
              <w:t xml:space="preserve"> </w:t>
            </w:r>
          </w:p>
          <w:p w14:paraId="781A3FA9" w14:textId="12BD002D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Secretary – </w:t>
            </w:r>
            <w:r w:rsidR="00CE5B66">
              <w:rPr>
                <w:color w:val="244061" w:themeColor="accent1" w:themeShade="80"/>
              </w:rPr>
              <w:t>Gordon Oliver</w:t>
            </w:r>
          </w:p>
          <w:p w14:paraId="22091FBF" w14:textId="2C40B4E8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Membership Secretary – Paul </w:t>
            </w:r>
            <w:proofErr w:type="spellStart"/>
            <w:proofErr w:type="gramStart"/>
            <w:r w:rsidR="00A34C82" w:rsidRPr="008E461D">
              <w:rPr>
                <w:color w:val="244061" w:themeColor="accent1" w:themeShade="80"/>
              </w:rPr>
              <w:t>Rumsb</w:t>
            </w:r>
            <w:r w:rsidR="004D576B" w:rsidRPr="008E461D">
              <w:rPr>
                <w:color w:val="244061" w:themeColor="accent1" w:themeShade="80"/>
              </w:rPr>
              <w:t>y</w:t>
            </w:r>
            <w:proofErr w:type="spellEnd"/>
            <w:r w:rsidR="00A34C82" w:rsidRPr="008E461D">
              <w:rPr>
                <w:color w:val="244061" w:themeColor="accent1" w:themeShade="80"/>
              </w:rPr>
              <w:t>;</w:t>
            </w:r>
            <w:proofErr w:type="gramEnd"/>
          </w:p>
          <w:p w14:paraId="5313A4D9" w14:textId="4968F3BC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Treasurer – Ed </w:t>
            </w:r>
            <w:proofErr w:type="gramStart"/>
            <w:r w:rsidR="00A34C82" w:rsidRPr="008E461D">
              <w:rPr>
                <w:color w:val="244061" w:themeColor="accent1" w:themeShade="80"/>
              </w:rPr>
              <w:t>Cooper</w:t>
            </w:r>
            <w:r w:rsidR="00E34EDE" w:rsidRPr="008E461D">
              <w:rPr>
                <w:color w:val="244061" w:themeColor="accent1" w:themeShade="80"/>
              </w:rPr>
              <w:t>;</w:t>
            </w:r>
            <w:proofErr w:type="gramEnd"/>
          </w:p>
          <w:p w14:paraId="33A7F718" w14:textId="2DEA3C94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Highways </w:t>
            </w:r>
            <w:r w:rsidR="00E34EDE" w:rsidRPr="008E461D">
              <w:rPr>
                <w:color w:val="244061" w:themeColor="accent1" w:themeShade="80"/>
              </w:rPr>
              <w:t>Officer</w:t>
            </w:r>
            <w:r w:rsidR="004D576B" w:rsidRPr="008E461D">
              <w:rPr>
                <w:color w:val="244061" w:themeColor="accent1" w:themeShade="80"/>
              </w:rPr>
              <w:t xml:space="preserve"> </w:t>
            </w:r>
            <w:r w:rsidRPr="008E461D">
              <w:rPr>
                <w:color w:val="244061" w:themeColor="accent1" w:themeShade="80"/>
              </w:rPr>
              <w:t xml:space="preserve">– </w:t>
            </w:r>
            <w:proofErr w:type="gramStart"/>
            <w:r w:rsidR="004D576B" w:rsidRPr="008E461D">
              <w:rPr>
                <w:color w:val="244061" w:themeColor="accent1" w:themeShade="80"/>
              </w:rPr>
              <w:t>vacant</w:t>
            </w:r>
            <w:r w:rsidR="00E34EDE" w:rsidRPr="008E461D">
              <w:rPr>
                <w:color w:val="244061" w:themeColor="accent1" w:themeShade="80"/>
              </w:rPr>
              <w:t>;</w:t>
            </w:r>
            <w:proofErr w:type="gramEnd"/>
          </w:p>
          <w:p w14:paraId="4DBF1A87" w14:textId="3429A83D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>Cycle Count Co-ord</w:t>
            </w:r>
            <w:r w:rsidR="00E34EDE" w:rsidRPr="008E461D">
              <w:rPr>
                <w:color w:val="244061" w:themeColor="accent1" w:themeShade="80"/>
              </w:rPr>
              <w:t>inator</w:t>
            </w:r>
            <w:r w:rsidRPr="008E461D">
              <w:rPr>
                <w:color w:val="244061" w:themeColor="accent1" w:themeShade="80"/>
              </w:rPr>
              <w:t xml:space="preserve"> – </w:t>
            </w:r>
            <w:r w:rsidR="004D576B" w:rsidRPr="008E461D">
              <w:rPr>
                <w:color w:val="244061" w:themeColor="accent1" w:themeShade="80"/>
              </w:rPr>
              <w:t xml:space="preserve">Rob </w:t>
            </w:r>
            <w:proofErr w:type="gramStart"/>
            <w:r w:rsidR="004D576B" w:rsidRPr="008E461D">
              <w:rPr>
                <w:color w:val="244061" w:themeColor="accent1" w:themeShade="80"/>
              </w:rPr>
              <w:t>Borthwick</w:t>
            </w:r>
            <w:r w:rsidR="00724DF3" w:rsidRPr="008E461D">
              <w:rPr>
                <w:color w:val="244061" w:themeColor="accent1" w:themeShade="80"/>
              </w:rPr>
              <w:t>;</w:t>
            </w:r>
            <w:proofErr w:type="gramEnd"/>
          </w:p>
          <w:p w14:paraId="37697978" w14:textId="1F9CB3BD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>Events Manager</w:t>
            </w:r>
            <w:r w:rsidR="00E34EDE" w:rsidRPr="008E461D">
              <w:rPr>
                <w:color w:val="244061" w:themeColor="accent1" w:themeShade="80"/>
              </w:rPr>
              <w:t>/Rides Co-ordinator</w:t>
            </w:r>
            <w:r w:rsidRPr="008E461D">
              <w:rPr>
                <w:color w:val="244061" w:themeColor="accent1" w:themeShade="80"/>
              </w:rPr>
              <w:t xml:space="preserve"> – William </w:t>
            </w:r>
            <w:proofErr w:type="gramStart"/>
            <w:r w:rsidR="00E34EDE" w:rsidRPr="008E461D">
              <w:rPr>
                <w:color w:val="244061" w:themeColor="accent1" w:themeShade="80"/>
              </w:rPr>
              <w:t>Pit</w:t>
            </w:r>
            <w:r w:rsidR="00724DF3" w:rsidRPr="008E461D">
              <w:rPr>
                <w:color w:val="244061" w:themeColor="accent1" w:themeShade="80"/>
              </w:rPr>
              <w:t>t</w:t>
            </w:r>
            <w:r w:rsidR="00E34EDE" w:rsidRPr="008E461D">
              <w:rPr>
                <w:color w:val="244061" w:themeColor="accent1" w:themeShade="80"/>
              </w:rPr>
              <w:t>;</w:t>
            </w:r>
            <w:proofErr w:type="gramEnd"/>
          </w:p>
          <w:p w14:paraId="6465D4EC" w14:textId="604793D7" w:rsidR="007A708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Website Editor – </w:t>
            </w:r>
            <w:r w:rsidR="006D73FB">
              <w:rPr>
                <w:color w:val="244061" w:themeColor="accent1" w:themeShade="80"/>
              </w:rPr>
              <w:t>William Pitt</w:t>
            </w:r>
          </w:p>
          <w:p w14:paraId="0ADE8297" w14:textId="1F2E2C52" w:rsidR="00866F72" w:rsidRPr="008E461D" w:rsidRDefault="007A7082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Training </w:t>
            </w:r>
            <w:r w:rsidR="00E34EDE" w:rsidRPr="008E461D">
              <w:rPr>
                <w:color w:val="244061" w:themeColor="accent1" w:themeShade="80"/>
              </w:rPr>
              <w:t xml:space="preserve">Officer </w:t>
            </w:r>
            <w:r w:rsidRPr="008E461D">
              <w:rPr>
                <w:color w:val="244061" w:themeColor="accent1" w:themeShade="80"/>
              </w:rPr>
              <w:t xml:space="preserve">– </w:t>
            </w:r>
            <w:r w:rsidR="00FF6773">
              <w:rPr>
                <w:color w:val="244061" w:themeColor="accent1" w:themeShade="80"/>
              </w:rPr>
              <w:t>vacant</w:t>
            </w:r>
          </w:p>
          <w:p w14:paraId="404D4FBA" w14:textId="77777777" w:rsidR="00DD0A15" w:rsidRDefault="00DD0A15" w:rsidP="00B074CB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 w:rsidRPr="008E461D">
              <w:rPr>
                <w:color w:val="244061" w:themeColor="accent1" w:themeShade="80"/>
              </w:rPr>
              <w:t xml:space="preserve">Publicity Officer – </w:t>
            </w:r>
            <w:r w:rsidR="00FF6773">
              <w:rPr>
                <w:color w:val="244061" w:themeColor="accent1" w:themeShade="80"/>
              </w:rPr>
              <w:t>vacant</w:t>
            </w:r>
          </w:p>
          <w:p w14:paraId="0E69F255" w14:textId="0FC600E1" w:rsidR="00F63AD0" w:rsidRPr="00F63AD0" w:rsidRDefault="00FF6773" w:rsidP="0007195F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The </w:t>
            </w:r>
            <w:r w:rsidR="009B4E80">
              <w:rPr>
                <w:color w:val="244061" w:themeColor="accent1" w:themeShade="80"/>
              </w:rPr>
              <w:t>C</w:t>
            </w:r>
            <w:r>
              <w:rPr>
                <w:color w:val="244061" w:themeColor="accent1" w:themeShade="80"/>
              </w:rPr>
              <w:t>hair was to talk to Josh Kerry about vacant positions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1825929" w14:textId="2B2C7DD7" w:rsidR="00866F72" w:rsidRDefault="001B096C" w:rsidP="00DF60D5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</w:p>
          <w:p w14:paraId="50A328CD" w14:textId="64E477CC" w:rsidR="00866F72" w:rsidRDefault="001B096C" w:rsidP="00DF60D5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</w:p>
          <w:p w14:paraId="74ED3A15" w14:textId="5BF88800" w:rsidR="00724DF3" w:rsidRDefault="001B096C" w:rsidP="00724DF3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br/>
            </w:r>
          </w:p>
          <w:p w14:paraId="01792894" w14:textId="77777777" w:rsidR="00E34EDE" w:rsidRDefault="00E34EDE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  <w:p w14:paraId="16B6625D" w14:textId="77777777" w:rsidR="00F63AD0" w:rsidRDefault="00F63AD0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  <w:p w14:paraId="02FA2424" w14:textId="77777777" w:rsidR="00F63AD0" w:rsidRDefault="00F63AD0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  <w:p w14:paraId="7C36F82D" w14:textId="77777777" w:rsidR="00F63AD0" w:rsidRDefault="00F63AD0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  <w:p w14:paraId="0169EC14" w14:textId="77777777" w:rsidR="00F63AD0" w:rsidRDefault="00F63AD0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  <w:p w14:paraId="268CEDC3" w14:textId="77777777" w:rsidR="00F63AD0" w:rsidRDefault="00F63AD0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  <w:p w14:paraId="4BDA40BF" w14:textId="7D37CBD5" w:rsidR="00F63AD0" w:rsidRDefault="00FC0A4D" w:rsidP="0031239E">
            <w:pPr>
              <w:spacing w:beforeLines="60" w:before="144" w:afterLines="60" w:after="144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WP</w:t>
            </w:r>
          </w:p>
        </w:tc>
      </w:tr>
      <w:tr w:rsidR="00866F72" w:rsidRPr="00892CDE" w14:paraId="70407006" w14:textId="77777777" w:rsidTr="00DF60D5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2E2BA2E8" w14:textId="1F996E43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7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5B1558B9" w14:textId="1D8E1F51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Motions for Debate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5CF9A51F" w14:textId="77777777" w:rsidR="00866F72" w:rsidRPr="00892CDE" w:rsidRDefault="00866F72" w:rsidP="00DF60D5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14:paraId="46C2F448" w14:textId="77777777" w:rsidTr="00DF60D5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316873E" w14:textId="77777777" w:rsidR="00866F72" w:rsidRDefault="00866F72" w:rsidP="00DF60D5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DFCFC00" w14:textId="60E4DB33" w:rsidR="00E45C21" w:rsidRDefault="00E45C21" w:rsidP="006013FD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It was agreed that </w:t>
            </w:r>
            <w:r w:rsidR="0055326D">
              <w:rPr>
                <w:color w:val="244061" w:themeColor="accent1" w:themeShade="80"/>
              </w:rPr>
              <w:t xml:space="preserve">Spokes should continue to bank with </w:t>
            </w:r>
            <w:r w:rsidR="00F96B67">
              <w:rPr>
                <w:color w:val="244061" w:themeColor="accent1" w:themeShade="80"/>
              </w:rPr>
              <w:t>Metro Bank.</w:t>
            </w:r>
          </w:p>
          <w:p w14:paraId="761074F1" w14:textId="77777777" w:rsidR="00BF3D9E" w:rsidRDefault="005E4089" w:rsidP="006013FD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 w:rsidRPr="006013FD">
              <w:rPr>
                <w:color w:val="244061" w:themeColor="accent1" w:themeShade="80"/>
              </w:rPr>
              <w:t>Priorities for investing Spokes funds</w:t>
            </w:r>
            <w:r w:rsidR="00767A6A">
              <w:rPr>
                <w:color w:val="244061" w:themeColor="accent1" w:themeShade="80"/>
              </w:rPr>
              <w:t xml:space="preserve"> were agreed </w:t>
            </w:r>
            <w:proofErr w:type="gramStart"/>
            <w:r w:rsidR="00767A6A">
              <w:rPr>
                <w:color w:val="244061" w:themeColor="accent1" w:themeShade="80"/>
              </w:rPr>
              <w:t>as</w:t>
            </w:r>
            <w:r w:rsidR="00BF3D9E">
              <w:rPr>
                <w:color w:val="244061" w:themeColor="accent1" w:themeShade="80"/>
              </w:rPr>
              <w:t>;</w:t>
            </w:r>
            <w:proofErr w:type="gramEnd"/>
          </w:p>
          <w:p w14:paraId="776D99AD" w14:textId="77777777" w:rsidR="00BF3D9E" w:rsidRDefault="00BF3D9E" w:rsidP="00BF3D9E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contextualSpacing w:val="0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Hambridge</w:t>
            </w:r>
            <w:proofErr w:type="spellEnd"/>
            <w:r>
              <w:rPr>
                <w:color w:val="244061" w:themeColor="accent1" w:themeShade="80"/>
              </w:rPr>
              <w:t xml:space="preserve"> to Bulls lock towpath</w:t>
            </w:r>
          </w:p>
          <w:p w14:paraId="14324C2E" w14:textId="77777777" w:rsidR="00BF3D9E" w:rsidRDefault="00767A6A" w:rsidP="00BF3D9E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contextualSpacing w:val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the Eling Way</w:t>
            </w:r>
          </w:p>
          <w:p w14:paraId="309C76E4" w14:textId="28325A05" w:rsidR="0031593C" w:rsidRDefault="0031593C" w:rsidP="00BF3D9E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contextualSpacing w:val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Mortimer to Burghfield cycle route proposal under discussion</w:t>
            </w:r>
            <w:r w:rsidR="002C6582">
              <w:rPr>
                <w:color w:val="244061" w:themeColor="accent1" w:themeShade="80"/>
              </w:rPr>
              <w:t xml:space="preserve"> - </w:t>
            </w:r>
            <w:r>
              <w:rPr>
                <w:color w:val="244061" w:themeColor="accent1" w:themeShade="80"/>
              </w:rPr>
              <w:t xml:space="preserve">  Spokes could </w:t>
            </w:r>
            <w:proofErr w:type="gramStart"/>
            <w:r>
              <w:rPr>
                <w:color w:val="244061" w:themeColor="accent1" w:themeShade="80"/>
              </w:rPr>
              <w:t>contribute</w:t>
            </w:r>
            <w:proofErr w:type="gramEnd"/>
          </w:p>
          <w:p w14:paraId="19F2BC52" w14:textId="5E655275" w:rsidR="005448BC" w:rsidRPr="00821B9D" w:rsidRDefault="006E789D" w:rsidP="00561B56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300" w:lineRule="auto"/>
              <w:contextualSpacing w:val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It was noted that there was </w:t>
            </w:r>
            <w:r w:rsidR="009B4E80">
              <w:rPr>
                <w:color w:val="244061" w:themeColor="accent1" w:themeShade="80"/>
              </w:rPr>
              <w:t>a</w:t>
            </w:r>
            <w:r>
              <w:rPr>
                <w:color w:val="244061" w:themeColor="accent1" w:themeShade="80"/>
              </w:rPr>
              <w:t xml:space="preserve"> Good Exchange fundraise ongoing for towpath works that Spokes could contribute towards</w:t>
            </w:r>
            <w:r w:rsidR="00926FF4" w:rsidRPr="00821B9D">
              <w:rPr>
                <w:color w:val="244061" w:themeColor="accent1" w:themeShade="80"/>
              </w:rPr>
              <w:t xml:space="preserve"> </w:t>
            </w:r>
            <w:r w:rsidR="009B4E80">
              <w:rPr>
                <w:color w:val="244061" w:themeColor="accent1" w:themeShade="80"/>
              </w:rPr>
              <w:br/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02F4C44" w14:textId="77777777" w:rsidR="00866F72" w:rsidRDefault="00866F72" w:rsidP="00BB174A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</w:p>
          <w:p w14:paraId="1D4B9923" w14:textId="77777777" w:rsidR="006013FD" w:rsidRDefault="006013FD" w:rsidP="00BB174A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</w:p>
          <w:p w14:paraId="11651985" w14:textId="77777777" w:rsidR="00FC0A4D" w:rsidRDefault="00FC0A4D" w:rsidP="00BB174A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</w:p>
          <w:p w14:paraId="41C9CF85" w14:textId="77777777" w:rsidR="00FC0A4D" w:rsidRDefault="00FC0A4D" w:rsidP="00BB174A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</w:p>
          <w:p w14:paraId="6A92F7F5" w14:textId="77777777" w:rsidR="00FC0A4D" w:rsidRDefault="00FC0A4D" w:rsidP="00BB174A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</w:p>
          <w:p w14:paraId="0DBF1C35" w14:textId="77777777" w:rsidR="00FC0A4D" w:rsidRDefault="00FC0A4D" w:rsidP="009B4E80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CT</w:t>
            </w:r>
          </w:p>
          <w:p w14:paraId="74DC695C" w14:textId="47327932" w:rsidR="00FC0A4D" w:rsidRDefault="00FC0A4D" w:rsidP="009B4E80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EC</w:t>
            </w:r>
          </w:p>
        </w:tc>
      </w:tr>
      <w:tr w:rsidR="00866F72" w:rsidRPr="00892CDE" w14:paraId="5F9598A9" w14:textId="77777777" w:rsidTr="00DF60D5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7A9C3D4A" w14:textId="2EF7E9B6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lastRenderedPageBreak/>
              <w:t>8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56E83E5C" w14:textId="06C5EBA7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Date of next AGM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26AD40A4" w14:textId="77777777" w:rsidR="00866F72" w:rsidRPr="00892CDE" w:rsidRDefault="00866F72" w:rsidP="00DF60D5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14:paraId="4F3F603B" w14:textId="77777777" w:rsidTr="00DF60D5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90E775F" w14:textId="77777777" w:rsidR="00866F72" w:rsidRDefault="00866F72" w:rsidP="00DF60D5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123E6D8" w14:textId="391F4B3F" w:rsidR="005448BC" w:rsidRPr="001D6D4C" w:rsidRDefault="002D4C27" w:rsidP="001D6D4C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To be arranged for June 202</w:t>
            </w:r>
            <w:r w:rsidR="004B28C1">
              <w:rPr>
                <w:color w:val="244061" w:themeColor="accent1" w:themeShade="80"/>
              </w:rPr>
              <w:t>3</w:t>
            </w:r>
            <w:r>
              <w:rPr>
                <w:color w:val="244061" w:themeColor="accent1" w:themeShade="80"/>
              </w:rPr>
              <w:t>.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E9CC507" w14:textId="47A393A3" w:rsidR="00866F72" w:rsidRDefault="00A13AC6" w:rsidP="00746B4A">
            <w:pPr>
              <w:spacing w:beforeLines="60" w:before="144" w:afterLines="60" w:after="144" w:line="300" w:lineRule="auto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GO</w:t>
            </w:r>
          </w:p>
        </w:tc>
      </w:tr>
      <w:tr w:rsidR="00866F72" w:rsidRPr="00892CDE" w14:paraId="06CE4153" w14:textId="77777777" w:rsidTr="00DF60D5"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</w:tcMar>
          </w:tcPr>
          <w:p w14:paraId="5297FF5A" w14:textId="548FA5E6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9</w:t>
            </w:r>
            <w:r w:rsidRPr="00892CDE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7209" w:type="dxa"/>
            <w:tcBorders>
              <w:top w:val="single" w:sz="4" w:space="0" w:color="244061" w:themeColor="accent1" w:themeShade="80"/>
              <w:bottom w:val="nil"/>
            </w:tcBorders>
            <w:tcMar>
              <w:left w:w="0" w:type="dxa"/>
              <w:right w:w="0" w:type="dxa"/>
            </w:tcMar>
          </w:tcPr>
          <w:p w14:paraId="2C2C0287" w14:textId="37E85B04" w:rsidR="00866F72" w:rsidRPr="00892CDE" w:rsidRDefault="00866F72" w:rsidP="00DF60D5">
            <w:pPr>
              <w:spacing w:before="60" w:after="60" w:line="300" w:lineRule="auto"/>
              <w:contextualSpacing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Any Other Business</w:t>
            </w:r>
          </w:p>
        </w:tc>
        <w:tc>
          <w:tcPr>
            <w:tcW w:w="1428" w:type="dxa"/>
            <w:tcBorders>
              <w:top w:val="single" w:sz="4" w:space="0" w:color="244061" w:themeColor="accent1" w:themeShade="80"/>
              <w:bottom w:val="nil"/>
            </w:tcBorders>
            <w:tcMar>
              <w:right w:w="0" w:type="dxa"/>
            </w:tcMar>
          </w:tcPr>
          <w:p w14:paraId="2F69BEEC" w14:textId="77777777" w:rsidR="00866F72" w:rsidRPr="00892CDE" w:rsidRDefault="00866F72" w:rsidP="00DF60D5">
            <w:pPr>
              <w:spacing w:before="60" w:after="60" w:line="300" w:lineRule="auto"/>
              <w:contextualSpacing/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866F72" w14:paraId="721FABD4" w14:textId="77777777" w:rsidTr="00DF60D5">
        <w:tc>
          <w:tcPr>
            <w:tcW w:w="1428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1ACBB9C" w14:textId="77777777" w:rsidR="00866F72" w:rsidRDefault="00866F72" w:rsidP="00DF60D5">
            <w:pPr>
              <w:spacing w:beforeLines="60" w:before="144" w:afterLines="60" w:after="144" w:line="300" w:lineRule="auto"/>
              <w:contextualSpacing/>
              <w:rPr>
                <w:b/>
              </w:rPr>
            </w:pPr>
          </w:p>
        </w:tc>
        <w:tc>
          <w:tcPr>
            <w:tcW w:w="72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C4C929" w14:textId="39424EB0" w:rsidR="002200DA" w:rsidRPr="001D6D4C" w:rsidRDefault="00F63AD0" w:rsidP="00F63AD0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 w:line="300" w:lineRule="auto"/>
              <w:ind w:left="357" w:hanging="357"/>
              <w:contextualSpacing w:val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Non</w:t>
            </w:r>
            <w:r w:rsidR="001D6D4C">
              <w:rPr>
                <w:color w:val="244061" w:themeColor="accent1" w:themeShade="80"/>
              </w:rPr>
              <w:t>e</w:t>
            </w:r>
          </w:p>
        </w:tc>
        <w:tc>
          <w:tcPr>
            <w:tcW w:w="1428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B48C7A4" w14:textId="6C2EE82D" w:rsidR="006F3769" w:rsidRDefault="006F3769" w:rsidP="0055326D">
            <w:pPr>
              <w:spacing w:beforeLines="60" w:before="144" w:line="300" w:lineRule="auto"/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14:paraId="692FDC22" w14:textId="77777777" w:rsidR="0009125A" w:rsidRDefault="0009125A" w:rsidP="001D6D4C">
      <w:pPr>
        <w:pBdr>
          <w:bottom w:val="single" w:sz="4" w:space="0" w:color="auto"/>
        </w:pBdr>
        <w:tabs>
          <w:tab w:val="left" w:pos="1814"/>
        </w:tabs>
        <w:spacing w:before="240" w:line="280" w:lineRule="atLeast"/>
        <w:rPr>
          <w:b/>
          <w:color w:val="244061" w:themeColor="accent1" w:themeShade="80"/>
        </w:rPr>
      </w:pPr>
    </w:p>
    <w:sectPr w:rsidR="0009125A" w:rsidSect="002B054A">
      <w:footerReference w:type="default" r:id="rId9"/>
      <w:pgSz w:w="11907" w:h="16839" w:code="9"/>
      <w:pgMar w:top="1080" w:right="1080" w:bottom="1080" w:left="1080" w:header="504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942F" w14:textId="77777777" w:rsidR="008B594A" w:rsidRDefault="008B594A" w:rsidP="004E395A">
      <w:pPr>
        <w:spacing w:after="0" w:line="240" w:lineRule="auto"/>
      </w:pPr>
      <w:r>
        <w:separator/>
      </w:r>
    </w:p>
  </w:endnote>
  <w:endnote w:type="continuationSeparator" w:id="0">
    <w:p w14:paraId="09BFCDA8" w14:textId="77777777" w:rsidR="008B594A" w:rsidRDefault="008B594A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DC8A" w14:textId="77777777" w:rsidR="00874F23" w:rsidRPr="00874F23" w:rsidRDefault="00000000" w:rsidP="00874F23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id w:val="-1282027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4F23" w:rsidRPr="00874F23">
          <w:rPr>
            <w:sz w:val="18"/>
            <w:szCs w:val="18"/>
          </w:rPr>
          <w:fldChar w:fldCharType="begin"/>
        </w:r>
        <w:r w:rsidR="00874F23" w:rsidRPr="00874F23">
          <w:rPr>
            <w:sz w:val="18"/>
            <w:szCs w:val="18"/>
          </w:rPr>
          <w:instrText xml:space="preserve"> PAGE   \* MERGEFORMAT </w:instrText>
        </w:r>
        <w:r w:rsidR="00874F23" w:rsidRPr="00874F23">
          <w:rPr>
            <w:sz w:val="18"/>
            <w:szCs w:val="18"/>
          </w:rPr>
          <w:fldChar w:fldCharType="separate"/>
        </w:r>
        <w:r w:rsidR="00EA2946">
          <w:rPr>
            <w:noProof/>
            <w:sz w:val="18"/>
            <w:szCs w:val="18"/>
          </w:rPr>
          <w:t>2</w:t>
        </w:r>
        <w:r w:rsidR="00874F23" w:rsidRPr="00874F23">
          <w:rPr>
            <w:noProof/>
            <w:sz w:val="18"/>
            <w:szCs w:val="18"/>
          </w:rPr>
          <w:fldChar w:fldCharType="end"/>
        </w:r>
      </w:sdtContent>
    </w:sdt>
  </w:p>
  <w:p w14:paraId="4F2B825C" w14:textId="77777777" w:rsidR="004E395A" w:rsidRPr="00874F23" w:rsidRDefault="004E395A" w:rsidP="00874F23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  <w:sz w:val="18"/>
        <w:szCs w:val="18"/>
      </w:rPr>
    </w:pPr>
  </w:p>
  <w:p w14:paraId="5334D04C" w14:textId="77777777" w:rsidR="00874F23" w:rsidRDefault="00874F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956D" w14:textId="77777777" w:rsidR="008B594A" w:rsidRDefault="008B594A" w:rsidP="004E395A">
      <w:pPr>
        <w:spacing w:after="0" w:line="240" w:lineRule="auto"/>
      </w:pPr>
      <w:r>
        <w:separator/>
      </w:r>
    </w:p>
  </w:footnote>
  <w:footnote w:type="continuationSeparator" w:id="0">
    <w:p w14:paraId="246F394E" w14:textId="77777777" w:rsidR="008B594A" w:rsidRDefault="008B594A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FC2"/>
    <w:multiLevelType w:val="hybridMultilevel"/>
    <w:tmpl w:val="D706B128"/>
    <w:lvl w:ilvl="0" w:tplc="A24E02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18F"/>
    <w:multiLevelType w:val="hybridMultilevel"/>
    <w:tmpl w:val="0DE2F782"/>
    <w:lvl w:ilvl="0" w:tplc="A24E02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9CDACE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55307"/>
    <w:multiLevelType w:val="hybridMultilevel"/>
    <w:tmpl w:val="F4E48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B570D"/>
    <w:multiLevelType w:val="hybridMultilevel"/>
    <w:tmpl w:val="C870FB2A"/>
    <w:lvl w:ilvl="0" w:tplc="9CDACE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A52182F"/>
    <w:multiLevelType w:val="hybridMultilevel"/>
    <w:tmpl w:val="E65A8CB4"/>
    <w:lvl w:ilvl="0" w:tplc="9CDACE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CF5"/>
    <w:multiLevelType w:val="hybridMultilevel"/>
    <w:tmpl w:val="7FAA15FE"/>
    <w:lvl w:ilvl="0" w:tplc="A24E02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06A7"/>
    <w:multiLevelType w:val="hybridMultilevel"/>
    <w:tmpl w:val="DD62B0FA"/>
    <w:lvl w:ilvl="0" w:tplc="A24E02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B5E"/>
    <w:multiLevelType w:val="hybridMultilevel"/>
    <w:tmpl w:val="55C4D564"/>
    <w:lvl w:ilvl="0" w:tplc="9CDACE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545638"/>
    <w:multiLevelType w:val="hybridMultilevel"/>
    <w:tmpl w:val="E2C2BC72"/>
    <w:lvl w:ilvl="0" w:tplc="9CDACE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21813231">
    <w:abstractNumId w:val="2"/>
  </w:num>
  <w:num w:numId="2" w16cid:durableId="1654094075">
    <w:abstractNumId w:val="1"/>
  </w:num>
  <w:num w:numId="3" w16cid:durableId="475072974">
    <w:abstractNumId w:val="0"/>
  </w:num>
  <w:num w:numId="4" w16cid:durableId="1615625517">
    <w:abstractNumId w:val="5"/>
  </w:num>
  <w:num w:numId="5" w16cid:durableId="1301374514">
    <w:abstractNumId w:val="6"/>
  </w:num>
  <w:num w:numId="6" w16cid:durableId="2072848354">
    <w:abstractNumId w:val="4"/>
  </w:num>
  <w:num w:numId="7" w16cid:durableId="118231124">
    <w:abstractNumId w:val="8"/>
  </w:num>
  <w:num w:numId="8" w16cid:durableId="1963148421">
    <w:abstractNumId w:val="7"/>
  </w:num>
  <w:num w:numId="9" w16cid:durableId="1148127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6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010C0"/>
    <w:rsid w:val="00013AF9"/>
    <w:rsid w:val="00021556"/>
    <w:rsid w:val="00021AEE"/>
    <w:rsid w:val="00030608"/>
    <w:rsid w:val="000324C9"/>
    <w:rsid w:val="00033DBC"/>
    <w:rsid w:val="000362A6"/>
    <w:rsid w:val="000463D2"/>
    <w:rsid w:val="00054B86"/>
    <w:rsid w:val="00062E60"/>
    <w:rsid w:val="00063537"/>
    <w:rsid w:val="00063C07"/>
    <w:rsid w:val="0007195F"/>
    <w:rsid w:val="00073237"/>
    <w:rsid w:val="00074179"/>
    <w:rsid w:val="00075499"/>
    <w:rsid w:val="00082886"/>
    <w:rsid w:val="000829ED"/>
    <w:rsid w:val="0008375A"/>
    <w:rsid w:val="0009125A"/>
    <w:rsid w:val="000959BD"/>
    <w:rsid w:val="000A3253"/>
    <w:rsid w:val="000B35DE"/>
    <w:rsid w:val="000C1DDD"/>
    <w:rsid w:val="000D2CA2"/>
    <w:rsid w:val="000D342A"/>
    <w:rsid w:val="000D6459"/>
    <w:rsid w:val="000F207B"/>
    <w:rsid w:val="000F5964"/>
    <w:rsid w:val="000F6542"/>
    <w:rsid w:val="000F6D19"/>
    <w:rsid w:val="0010583D"/>
    <w:rsid w:val="00107E83"/>
    <w:rsid w:val="00110493"/>
    <w:rsid w:val="00111521"/>
    <w:rsid w:val="001156DB"/>
    <w:rsid w:val="00116B3A"/>
    <w:rsid w:val="0012186C"/>
    <w:rsid w:val="00122E0D"/>
    <w:rsid w:val="00124999"/>
    <w:rsid w:val="00126C1D"/>
    <w:rsid w:val="0013355A"/>
    <w:rsid w:val="00136068"/>
    <w:rsid w:val="0015444E"/>
    <w:rsid w:val="00161678"/>
    <w:rsid w:val="00162641"/>
    <w:rsid w:val="0016301E"/>
    <w:rsid w:val="00170B5B"/>
    <w:rsid w:val="001941A6"/>
    <w:rsid w:val="001B096C"/>
    <w:rsid w:val="001B68FB"/>
    <w:rsid w:val="001D6D4C"/>
    <w:rsid w:val="001E4A69"/>
    <w:rsid w:val="002076C1"/>
    <w:rsid w:val="002200DA"/>
    <w:rsid w:val="0025676C"/>
    <w:rsid w:val="0026711A"/>
    <w:rsid w:val="00272C84"/>
    <w:rsid w:val="002764D7"/>
    <w:rsid w:val="002779FC"/>
    <w:rsid w:val="002809E1"/>
    <w:rsid w:val="002852BE"/>
    <w:rsid w:val="00287866"/>
    <w:rsid w:val="00293EBC"/>
    <w:rsid w:val="002943CB"/>
    <w:rsid w:val="002A546B"/>
    <w:rsid w:val="002B054A"/>
    <w:rsid w:val="002B068B"/>
    <w:rsid w:val="002B26E9"/>
    <w:rsid w:val="002B524F"/>
    <w:rsid w:val="002B5919"/>
    <w:rsid w:val="002C6582"/>
    <w:rsid w:val="002C6922"/>
    <w:rsid w:val="002D4C27"/>
    <w:rsid w:val="002D6282"/>
    <w:rsid w:val="002E05EF"/>
    <w:rsid w:val="002E696B"/>
    <w:rsid w:val="002E7A65"/>
    <w:rsid w:val="00301F81"/>
    <w:rsid w:val="00302C1B"/>
    <w:rsid w:val="003071FD"/>
    <w:rsid w:val="0031239E"/>
    <w:rsid w:val="0031335A"/>
    <w:rsid w:val="0031593C"/>
    <w:rsid w:val="00317AAB"/>
    <w:rsid w:val="003204FF"/>
    <w:rsid w:val="00334DA1"/>
    <w:rsid w:val="003402AC"/>
    <w:rsid w:val="00354D0C"/>
    <w:rsid w:val="00357B8A"/>
    <w:rsid w:val="0036459C"/>
    <w:rsid w:val="00365CD5"/>
    <w:rsid w:val="00370B67"/>
    <w:rsid w:val="00374689"/>
    <w:rsid w:val="00396A71"/>
    <w:rsid w:val="003A4AA5"/>
    <w:rsid w:val="003B078A"/>
    <w:rsid w:val="003B39EB"/>
    <w:rsid w:val="003C0918"/>
    <w:rsid w:val="003C1C51"/>
    <w:rsid w:val="003D031E"/>
    <w:rsid w:val="003D6FE6"/>
    <w:rsid w:val="003E0AA4"/>
    <w:rsid w:val="003E4521"/>
    <w:rsid w:val="003F02E6"/>
    <w:rsid w:val="003F0AA7"/>
    <w:rsid w:val="003F4508"/>
    <w:rsid w:val="004040CF"/>
    <w:rsid w:val="00407CE7"/>
    <w:rsid w:val="004112F6"/>
    <w:rsid w:val="00415BE7"/>
    <w:rsid w:val="00440748"/>
    <w:rsid w:val="00440C69"/>
    <w:rsid w:val="00442D7F"/>
    <w:rsid w:val="00445BD9"/>
    <w:rsid w:val="00454F66"/>
    <w:rsid w:val="004644F7"/>
    <w:rsid w:val="00477565"/>
    <w:rsid w:val="00481B37"/>
    <w:rsid w:val="00483D16"/>
    <w:rsid w:val="004860C6"/>
    <w:rsid w:val="00492015"/>
    <w:rsid w:val="004950F8"/>
    <w:rsid w:val="004A6C32"/>
    <w:rsid w:val="004A73CD"/>
    <w:rsid w:val="004B1D24"/>
    <w:rsid w:val="004B28C1"/>
    <w:rsid w:val="004C2F62"/>
    <w:rsid w:val="004C30EF"/>
    <w:rsid w:val="004C4306"/>
    <w:rsid w:val="004C56ED"/>
    <w:rsid w:val="004D576B"/>
    <w:rsid w:val="004E395A"/>
    <w:rsid w:val="004E6175"/>
    <w:rsid w:val="004E73B7"/>
    <w:rsid w:val="004F0E69"/>
    <w:rsid w:val="004F404E"/>
    <w:rsid w:val="00501BF5"/>
    <w:rsid w:val="0050493B"/>
    <w:rsid w:val="005140B7"/>
    <w:rsid w:val="005227EF"/>
    <w:rsid w:val="00523C52"/>
    <w:rsid w:val="00533560"/>
    <w:rsid w:val="0053685A"/>
    <w:rsid w:val="00536CC5"/>
    <w:rsid w:val="005448BC"/>
    <w:rsid w:val="00544B38"/>
    <w:rsid w:val="0055326D"/>
    <w:rsid w:val="00561B56"/>
    <w:rsid w:val="00571CB6"/>
    <w:rsid w:val="005730E8"/>
    <w:rsid w:val="00574750"/>
    <w:rsid w:val="00575CDE"/>
    <w:rsid w:val="00577226"/>
    <w:rsid w:val="00584307"/>
    <w:rsid w:val="0059263F"/>
    <w:rsid w:val="00595152"/>
    <w:rsid w:val="005A3084"/>
    <w:rsid w:val="005A51C8"/>
    <w:rsid w:val="005A766D"/>
    <w:rsid w:val="005A7C87"/>
    <w:rsid w:val="005B295A"/>
    <w:rsid w:val="005C0338"/>
    <w:rsid w:val="005C1EA6"/>
    <w:rsid w:val="005C3ABF"/>
    <w:rsid w:val="005C6FA1"/>
    <w:rsid w:val="005D0734"/>
    <w:rsid w:val="005D6FCE"/>
    <w:rsid w:val="005D7B8F"/>
    <w:rsid w:val="005E13F9"/>
    <w:rsid w:val="005E4089"/>
    <w:rsid w:val="005E4768"/>
    <w:rsid w:val="005E765B"/>
    <w:rsid w:val="005E788D"/>
    <w:rsid w:val="005F617A"/>
    <w:rsid w:val="006013FD"/>
    <w:rsid w:val="00603D1C"/>
    <w:rsid w:val="00605E83"/>
    <w:rsid w:val="00615B4B"/>
    <w:rsid w:val="00615F05"/>
    <w:rsid w:val="00617E82"/>
    <w:rsid w:val="00623D42"/>
    <w:rsid w:val="006317E2"/>
    <w:rsid w:val="0063381D"/>
    <w:rsid w:val="00642513"/>
    <w:rsid w:val="006435A0"/>
    <w:rsid w:val="006459F0"/>
    <w:rsid w:val="00655ECA"/>
    <w:rsid w:val="00656A1A"/>
    <w:rsid w:val="00657F4C"/>
    <w:rsid w:val="00662960"/>
    <w:rsid w:val="00686BF1"/>
    <w:rsid w:val="00686DE1"/>
    <w:rsid w:val="00690E97"/>
    <w:rsid w:val="00696ABA"/>
    <w:rsid w:val="00697F81"/>
    <w:rsid w:val="006A431E"/>
    <w:rsid w:val="006B15DE"/>
    <w:rsid w:val="006B161B"/>
    <w:rsid w:val="006B3F84"/>
    <w:rsid w:val="006D2445"/>
    <w:rsid w:val="006D70C7"/>
    <w:rsid w:val="006D73FB"/>
    <w:rsid w:val="006E789D"/>
    <w:rsid w:val="006F3769"/>
    <w:rsid w:val="006F39A3"/>
    <w:rsid w:val="006F64DA"/>
    <w:rsid w:val="006F771C"/>
    <w:rsid w:val="00702148"/>
    <w:rsid w:val="0070504E"/>
    <w:rsid w:val="00705F64"/>
    <w:rsid w:val="0071102D"/>
    <w:rsid w:val="00714997"/>
    <w:rsid w:val="00720E8E"/>
    <w:rsid w:val="00724DF3"/>
    <w:rsid w:val="00737F1A"/>
    <w:rsid w:val="00740847"/>
    <w:rsid w:val="0074333A"/>
    <w:rsid w:val="00746B4A"/>
    <w:rsid w:val="00746FAB"/>
    <w:rsid w:val="00750E9E"/>
    <w:rsid w:val="0075537F"/>
    <w:rsid w:val="007576FC"/>
    <w:rsid w:val="00766D52"/>
    <w:rsid w:val="00767A6A"/>
    <w:rsid w:val="00767D46"/>
    <w:rsid w:val="007715DF"/>
    <w:rsid w:val="0077562A"/>
    <w:rsid w:val="007978D7"/>
    <w:rsid w:val="007A2EB4"/>
    <w:rsid w:val="007A7082"/>
    <w:rsid w:val="007B0827"/>
    <w:rsid w:val="007B4628"/>
    <w:rsid w:val="007B5884"/>
    <w:rsid w:val="007B5A91"/>
    <w:rsid w:val="007B74A6"/>
    <w:rsid w:val="007C194A"/>
    <w:rsid w:val="007C309B"/>
    <w:rsid w:val="007C6921"/>
    <w:rsid w:val="007C7B00"/>
    <w:rsid w:val="007D05A9"/>
    <w:rsid w:val="007D773F"/>
    <w:rsid w:val="007D77F2"/>
    <w:rsid w:val="007D7EB2"/>
    <w:rsid w:val="00800560"/>
    <w:rsid w:val="00801C6D"/>
    <w:rsid w:val="008036C2"/>
    <w:rsid w:val="00811240"/>
    <w:rsid w:val="00813FDC"/>
    <w:rsid w:val="00821B9D"/>
    <w:rsid w:val="008234F9"/>
    <w:rsid w:val="00830351"/>
    <w:rsid w:val="00836714"/>
    <w:rsid w:val="008377A8"/>
    <w:rsid w:val="00840BDB"/>
    <w:rsid w:val="00843EC9"/>
    <w:rsid w:val="008524B3"/>
    <w:rsid w:val="00866F72"/>
    <w:rsid w:val="00874F23"/>
    <w:rsid w:val="00875835"/>
    <w:rsid w:val="00892CDE"/>
    <w:rsid w:val="008A0ADD"/>
    <w:rsid w:val="008B594A"/>
    <w:rsid w:val="008B5B5A"/>
    <w:rsid w:val="008C5C30"/>
    <w:rsid w:val="008D4A4A"/>
    <w:rsid w:val="008E461D"/>
    <w:rsid w:val="008E46DD"/>
    <w:rsid w:val="008E5176"/>
    <w:rsid w:val="008F7D91"/>
    <w:rsid w:val="009004E5"/>
    <w:rsid w:val="00914592"/>
    <w:rsid w:val="00916B97"/>
    <w:rsid w:val="00926FF4"/>
    <w:rsid w:val="0093341B"/>
    <w:rsid w:val="00934BEB"/>
    <w:rsid w:val="0094038D"/>
    <w:rsid w:val="00942F79"/>
    <w:rsid w:val="00960ABC"/>
    <w:rsid w:val="00961B6A"/>
    <w:rsid w:val="009647B7"/>
    <w:rsid w:val="00971964"/>
    <w:rsid w:val="00976186"/>
    <w:rsid w:val="009971EB"/>
    <w:rsid w:val="009A04B0"/>
    <w:rsid w:val="009A5F00"/>
    <w:rsid w:val="009B4E80"/>
    <w:rsid w:val="009B6267"/>
    <w:rsid w:val="009C04AF"/>
    <w:rsid w:val="009C08E6"/>
    <w:rsid w:val="009C6E0A"/>
    <w:rsid w:val="009D1618"/>
    <w:rsid w:val="009E4180"/>
    <w:rsid w:val="009E43C7"/>
    <w:rsid w:val="009F0E74"/>
    <w:rsid w:val="009F5FB2"/>
    <w:rsid w:val="00A00FFE"/>
    <w:rsid w:val="00A047E7"/>
    <w:rsid w:val="00A057EB"/>
    <w:rsid w:val="00A05D8D"/>
    <w:rsid w:val="00A1099D"/>
    <w:rsid w:val="00A13AC6"/>
    <w:rsid w:val="00A14A2C"/>
    <w:rsid w:val="00A14E8D"/>
    <w:rsid w:val="00A21D7D"/>
    <w:rsid w:val="00A26499"/>
    <w:rsid w:val="00A315CA"/>
    <w:rsid w:val="00A34C82"/>
    <w:rsid w:val="00A42B12"/>
    <w:rsid w:val="00A529D6"/>
    <w:rsid w:val="00A61E53"/>
    <w:rsid w:val="00A62FF6"/>
    <w:rsid w:val="00A647BE"/>
    <w:rsid w:val="00A67885"/>
    <w:rsid w:val="00A67D93"/>
    <w:rsid w:val="00A70EE8"/>
    <w:rsid w:val="00A87AAE"/>
    <w:rsid w:val="00A93CBE"/>
    <w:rsid w:val="00A94D05"/>
    <w:rsid w:val="00A95441"/>
    <w:rsid w:val="00A973DE"/>
    <w:rsid w:val="00AA407B"/>
    <w:rsid w:val="00AB252A"/>
    <w:rsid w:val="00AB6C4D"/>
    <w:rsid w:val="00AC657E"/>
    <w:rsid w:val="00AD5CE3"/>
    <w:rsid w:val="00AE04C8"/>
    <w:rsid w:val="00AE129E"/>
    <w:rsid w:val="00AE180A"/>
    <w:rsid w:val="00AE3B5F"/>
    <w:rsid w:val="00AE476F"/>
    <w:rsid w:val="00AE57D6"/>
    <w:rsid w:val="00B004FB"/>
    <w:rsid w:val="00B01E88"/>
    <w:rsid w:val="00B01F6D"/>
    <w:rsid w:val="00B04DCB"/>
    <w:rsid w:val="00B074CB"/>
    <w:rsid w:val="00B11FE1"/>
    <w:rsid w:val="00B1307C"/>
    <w:rsid w:val="00B16553"/>
    <w:rsid w:val="00B24EA8"/>
    <w:rsid w:val="00B265DB"/>
    <w:rsid w:val="00B4277A"/>
    <w:rsid w:val="00B5492F"/>
    <w:rsid w:val="00B57A07"/>
    <w:rsid w:val="00B57E83"/>
    <w:rsid w:val="00B63AA1"/>
    <w:rsid w:val="00B64E4F"/>
    <w:rsid w:val="00B8410C"/>
    <w:rsid w:val="00B87D77"/>
    <w:rsid w:val="00B9652C"/>
    <w:rsid w:val="00BA1096"/>
    <w:rsid w:val="00BB07E7"/>
    <w:rsid w:val="00BB174A"/>
    <w:rsid w:val="00BB18AD"/>
    <w:rsid w:val="00BC1D86"/>
    <w:rsid w:val="00BD031F"/>
    <w:rsid w:val="00BD767C"/>
    <w:rsid w:val="00BD7A9F"/>
    <w:rsid w:val="00BE3CBE"/>
    <w:rsid w:val="00BF2FDF"/>
    <w:rsid w:val="00BF3D9E"/>
    <w:rsid w:val="00BF65F7"/>
    <w:rsid w:val="00C0648D"/>
    <w:rsid w:val="00C25336"/>
    <w:rsid w:val="00C27909"/>
    <w:rsid w:val="00C355E0"/>
    <w:rsid w:val="00C42896"/>
    <w:rsid w:val="00C47391"/>
    <w:rsid w:val="00C4787F"/>
    <w:rsid w:val="00C523C6"/>
    <w:rsid w:val="00C5733D"/>
    <w:rsid w:val="00C66314"/>
    <w:rsid w:val="00C66986"/>
    <w:rsid w:val="00C742A0"/>
    <w:rsid w:val="00C84C5A"/>
    <w:rsid w:val="00C86B44"/>
    <w:rsid w:val="00C94707"/>
    <w:rsid w:val="00C9560E"/>
    <w:rsid w:val="00CA6F80"/>
    <w:rsid w:val="00CA7473"/>
    <w:rsid w:val="00CB5424"/>
    <w:rsid w:val="00CD791B"/>
    <w:rsid w:val="00CE06F0"/>
    <w:rsid w:val="00CE1032"/>
    <w:rsid w:val="00CE5B5F"/>
    <w:rsid w:val="00CE5B66"/>
    <w:rsid w:val="00CE5B79"/>
    <w:rsid w:val="00CF0928"/>
    <w:rsid w:val="00CF0A4C"/>
    <w:rsid w:val="00D01BB5"/>
    <w:rsid w:val="00D0372D"/>
    <w:rsid w:val="00D06801"/>
    <w:rsid w:val="00D27C72"/>
    <w:rsid w:val="00D40F41"/>
    <w:rsid w:val="00D43595"/>
    <w:rsid w:val="00D53A51"/>
    <w:rsid w:val="00D5574A"/>
    <w:rsid w:val="00D55F04"/>
    <w:rsid w:val="00D60BE3"/>
    <w:rsid w:val="00D62FCD"/>
    <w:rsid w:val="00D63E8D"/>
    <w:rsid w:val="00D64391"/>
    <w:rsid w:val="00D67240"/>
    <w:rsid w:val="00D72736"/>
    <w:rsid w:val="00D734F9"/>
    <w:rsid w:val="00D7624C"/>
    <w:rsid w:val="00D76A57"/>
    <w:rsid w:val="00D82B3C"/>
    <w:rsid w:val="00D852A4"/>
    <w:rsid w:val="00D96AEC"/>
    <w:rsid w:val="00DB225A"/>
    <w:rsid w:val="00DB3C85"/>
    <w:rsid w:val="00DB51D1"/>
    <w:rsid w:val="00DC0C6B"/>
    <w:rsid w:val="00DD0A15"/>
    <w:rsid w:val="00DD7868"/>
    <w:rsid w:val="00DF03B6"/>
    <w:rsid w:val="00E000A5"/>
    <w:rsid w:val="00E00970"/>
    <w:rsid w:val="00E03019"/>
    <w:rsid w:val="00E12E8F"/>
    <w:rsid w:val="00E30244"/>
    <w:rsid w:val="00E3037C"/>
    <w:rsid w:val="00E34EDE"/>
    <w:rsid w:val="00E359A7"/>
    <w:rsid w:val="00E45C21"/>
    <w:rsid w:val="00E54687"/>
    <w:rsid w:val="00E61CF3"/>
    <w:rsid w:val="00E72936"/>
    <w:rsid w:val="00E83F0D"/>
    <w:rsid w:val="00E91372"/>
    <w:rsid w:val="00EA2946"/>
    <w:rsid w:val="00EA683E"/>
    <w:rsid w:val="00EA7947"/>
    <w:rsid w:val="00EB09E0"/>
    <w:rsid w:val="00EC007E"/>
    <w:rsid w:val="00ED29DA"/>
    <w:rsid w:val="00ED392F"/>
    <w:rsid w:val="00EE01A9"/>
    <w:rsid w:val="00EF6B64"/>
    <w:rsid w:val="00F022DF"/>
    <w:rsid w:val="00F1207C"/>
    <w:rsid w:val="00F14D98"/>
    <w:rsid w:val="00F203FA"/>
    <w:rsid w:val="00F23088"/>
    <w:rsid w:val="00F26EEB"/>
    <w:rsid w:val="00F423A2"/>
    <w:rsid w:val="00F42C28"/>
    <w:rsid w:val="00F52DE4"/>
    <w:rsid w:val="00F62ADE"/>
    <w:rsid w:val="00F63AD0"/>
    <w:rsid w:val="00F90030"/>
    <w:rsid w:val="00F91F22"/>
    <w:rsid w:val="00F938FE"/>
    <w:rsid w:val="00F96B67"/>
    <w:rsid w:val="00FA0492"/>
    <w:rsid w:val="00FA25A5"/>
    <w:rsid w:val="00FA3817"/>
    <w:rsid w:val="00FA7AFD"/>
    <w:rsid w:val="00FB1626"/>
    <w:rsid w:val="00FB2634"/>
    <w:rsid w:val="00FB3F47"/>
    <w:rsid w:val="00FB4380"/>
    <w:rsid w:val="00FB4539"/>
    <w:rsid w:val="00FC0A4D"/>
    <w:rsid w:val="00FC25AD"/>
    <w:rsid w:val="00FC2791"/>
    <w:rsid w:val="00FD0C86"/>
    <w:rsid w:val="00FD45E8"/>
    <w:rsid w:val="00FD72B5"/>
    <w:rsid w:val="00FE0ECF"/>
    <w:rsid w:val="00FE16E4"/>
    <w:rsid w:val="00FE6D86"/>
    <w:rsid w:val="00FE72D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5C8F"/>
  <w15:docId w15:val="{0B8E771E-418E-40D8-9BD6-E7C011E1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8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F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1355-AFA7-44E6-96A1-2788DCD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Gordon Oliver;Clive Tombs</dc:creator>
  <dc:description>(c) 2014 Vertex42 LLC. All rights reserved.</dc:description>
  <cp:lastModifiedBy>Gordon Oliver</cp:lastModifiedBy>
  <cp:revision>47</cp:revision>
  <cp:lastPrinted>2019-10-08T19:21:00Z</cp:lastPrinted>
  <dcterms:created xsi:type="dcterms:W3CDTF">2023-06-14T09:02:00Z</dcterms:created>
  <dcterms:modified xsi:type="dcterms:W3CDTF">2023-06-14T19:06:00Z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